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2035B7BD" w14:textId="77777777" w:rsidR="0027159A" w:rsidRDefault="0027159A"/>
        <w:p w14:paraId="5C377B78" w14:textId="26C9A117" w:rsidR="0027159A" w:rsidRDefault="008F52C1">
          <w:pPr>
            <w:rPr>
              <w:noProof/>
              <w:color w:val="775F55"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F8CAADF"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dAawMAAMAKAAAOAAAAZHJzL2Uyb0RvYy54bWzsVltv0zAUfkfiP1h+Z2nTlrXRMlR1bEKa&#10;tmkD7dlznCbCsY3tNh2/nnPsJB1jTFwEEhIvqe1z/3zOVx+92TWSbIV1tVY5HR+MKBGK66JW65x+&#10;eH/6ak6J80wVTGolcnovHH1z/PLFUWsykepKy0JYAk6Uy1qT08p7kyWJ45VomDvQRigQlto2zMPW&#10;rpPCsha8NzJJR6PXSattYazmwjk4PYlCehz8l6Xg/rIsnfBE5hRy8+Frw/cOv8nxEcvWlpmq5l0a&#10;7BeyaFitIOjg6oR5Rja2/sZVU3OrnS79AddNosuy5iLUANWMR4+qObN6Y0It66xdmwEmgPYRTr/s&#10;ll9sryypi5xO4KYUa+COQliCe197CQcngmvLfL0VxNWFuGMWcWvNOgPzM2tuzJXtDtZxh1DsStvg&#10;LxRJdgHx+wFxsfOEw2E6mY/TGSUcRIvxdDoadVfCK7g3NHu1mKHC3pRXb583TvrQCWY4JNQa6DC3&#10;B9H9Hog3FTMi3I1DFHoQFz2I19B6TK2lIJNFRCvoDVC5zAFqP4xTOn8N0ASc5ofzdDQLOA2lssxY&#10;58+EbggucmohfGhItj13Hi4HVHsVDOq0rIvTWsqwwWkTK2nJlsGcMM6F8ilmDVZfaUqF+kqjZRTj&#10;CQDdlxNW/l4K1JPqWpTQXHjRIZkw1o8DjaOoYoWI8WfQBX15g0XIJThEzyXEH3x3Dp4qYtwV0emj&#10;qQisMBiPnkssljhYhMha+cG4qZW2TzmQfogc9XuQIjSI0p0u7qFrrI6c5Aw/reHqzpnzV8wCCcF1&#10;A7H6S/iUUrc51d2Kkkrbz0+doz60NUgpaYHUcuo+bZgVlMh3Cho+jBiMddhMZ4cpxLAPJXcPJWrT&#10;rDT0wxgo3PCwRH0v+2VpdXML/LvEqCBiikPsnHJv+83KR7IFBudiuQxqwHyG+XN1Yzg6R1SxNd/v&#10;bpk1Xf96YIgL3Q8Zyx61cdRFS6WXG6/LOvT4HtcObxh4JKq/MPlTqD/S537y4Qw6CMMDQ+DkY8LO&#10;nGv+0RGlVxUQhFg6A7OKQGC3faWMm++wxJ4W54vxDHgTraG5e2p8wBdpXMde7km554IfpAup+uRi&#10;PiGznxvzSZyTPzLmk98Z8974/5j/22Me/u7hmRT+KbonHb7DHu7DhO0fnsdfAAAA//8DAFBLAwQU&#10;AAYACAAAACEA0ET7Id0AAAAKAQAADwAAAGRycy9kb3ducmV2LnhtbEyPy07DMBBF90j8gzVI7Kid&#10;oAYU4lQ8VDasKK+tGw9JhD0OsdOmf890VVbzuKM751ar2TuxwzH2gTRkCwUCqQm2p1bD+9v66hZE&#10;TIascYFQwwEjrOrzs8qUNuzpFXeb1Ao2oVgaDV1KQyllbDr0Ji7CgMTadxi9STyOrbSj2bO5dzJX&#10;qpDe9MQfOjPgY4fNz2byGvCzPWRf7iV/mKendTM8/9rho9D68mK+vwORcE6nYzjiMzrUzLQNE9ko&#10;nIbimqMkDTc516Ou1BLElptlxitZV/J/hPoPAAD//wMAUEsBAi0AFAAGAAgAAAAhALaDOJL+AAAA&#10;4QEAABMAAAAAAAAAAAAAAAAAAAAAAFtDb250ZW50X1R5cGVzXS54bWxQSwECLQAUAAYACAAAACEA&#10;OP0h/9YAAACUAQAACwAAAAAAAAAAAAAAAAAvAQAAX3JlbHMvLnJlbHNQSwECLQAUAAYACAAAACEA&#10;dgjnQGsDAADACgAADgAAAAAAAAAAAAAAAAAuAgAAZHJzL2Uyb0RvYy54bWxQSwECLQAUAAYACAAA&#10;ACEA0ET7Id0AAAAKAQAADwAAAAAAAAAAAAAAAADFBQAAZHJzL2Rvd25yZXYueG1sUEsFBgAAAAAE&#10;AAQA8wAAAM8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a5ab81 [3206]" strokecolor="#55593b [1606]" strokeweight="1pt">
                      <v:path arrowok="t"/>
                      <o:lock v:ext="edit" aspectratio="t"/>
                    </v:rect>
                    <w10:wrap anchorx="page" anchory="page"/>
                  </v:group>
                </w:pict>
              </mc:Fallback>
            </mc:AlternateContent>
          </w:r>
          <w:r w:rsidR="000C505F">
            <w:rPr>
              <w:noProof/>
              <w:color w:val="775F55" w:themeColor="text2"/>
              <w:sz w:val="32"/>
              <w:szCs w:val="32"/>
            </w:rPr>
            <w:drawing>
              <wp:anchor distT="0" distB="0" distL="114300" distR="114300" simplePos="0" relativeHeight="251663360" behindDoc="0" locked="0" layoutInCell="1" allowOverlap="1" wp14:anchorId="2A2204DD" wp14:editId="11B0A33F">
                <wp:simplePos x="0" y="0"/>
                <wp:positionH relativeFrom="column">
                  <wp:posOffset>4105275</wp:posOffset>
                </wp:positionH>
                <wp:positionV relativeFrom="paragraph">
                  <wp:posOffset>3733800</wp:posOffset>
                </wp:positionV>
                <wp:extent cx="2377440" cy="1914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914525"/>
                        </a:xfrm>
                        <a:prstGeom prst="rect">
                          <a:avLst/>
                        </a:prstGeom>
                        <a:noFill/>
                      </pic:spPr>
                    </pic:pic>
                  </a:graphicData>
                </a:graphic>
              </wp:anchor>
            </w:drawing>
          </w:r>
          <w:r w:rsidR="00115477">
            <w:rPr>
              <w:noProof/>
            </w:rPr>
            <mc:AlternateContent>
              <mc:Choice Requires="wps">
                <w:drawing>
                  <wp:anchor distT="0" distB="0" distL="114300" distR="114300" simplePos="0" relativeHeight="251661312" behindDoc="0" locked="1" layoutInCell="1" allowOverlap="1" wp14:anchorId="19B07BD1" wp14:editId="142B4511">
                    <wp:simplePos x="0" y="0"/>
                    <wp:positionH relativeFrom="margin">
                      <wp:posOffset>1812925</wp:posOffset>
                    </wp:positionH>
                    <wp:positionV relativeFrom="margin">
                      <wp:posOffset>7207250</wp:posOffset>
                    </wp:positionV>
                    <wp:extent cx="4133850" cy="831850"/>
                    <wp:effectExtent l="0" t="0" r="0" b="635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4133850" cy="831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9A116" w14:textId="6BD8203D" w:rsidR="00C63795" w:rsidRDefault="00C63795" w:rsidP="00C63795">
                                <w:pPr>
                                  <w:pStyle w:val="Subtitle"/>
                                  <w:ind w:left="2160"/>
                                  <w:jc w:val="left"/>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Content>
                                    <w:r>
                                      <w:t>Shawn Stoen, RHPC</w:t>
                                    </w:r>
                                  </w:sdtContent>
                                </w:sdt>
                              </w:p>
                              <w:p w14:paraId="15BA06D0" w14:textId="3186559D" w:rsidR="0030772E" w:rsidRDefault="00C63795" w:rsidP="00C63795">
                                <w:pPr>
                                  <w:pStyle w:val="Contactinfo"/>
                                  <w:ind w:left="2952" w:firstLine="648"/>
                                  <w:jc w:val="left"/>
                                </w:pPr>
                                <w:r>
                                  <w:t xml:space="preserve">    </w:t>
                                </w:r>
                                <w:r w:rsidR="007D0922">
                                  <w:t>JUNE</w:t>
                                </w:r>
                                <w:r w:rsidR="00A03FCB">
                                  <w:t xml:space="preserve">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142.75pt;margin-top:567.5pt;width:325.5pt;height: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YXAIAAC0FAAAOAAAAZHJzL2Uyb0RvYy54bWysVN9v2jAQfp+0/8Hy+wiUraoQoWJUTJNQ&#10;W5VOfTaODdEcn3c2JOyv39lJoGN76bQX53I/Pt99d+fpbVMZdlDoS7A5Hw2GnCkroSjtNuffnpcf&#10;bjjzQdhCGLAq50fl+e3s/btp7SbqCnZgCoWMQKyf1C7nuxDcJMu83KlK+AE4ZcmoASsR6Be3WYGi&#10;JvTKZFfD4XVWAxYOQSrvSXvXGvks4WutZHjQ2qvATM4pt5BOTOcmntlsKiZbFG5Xyi4N8Q9ZVKK0&#10;dOkJ6k4EwfZY/gFVlRLBgw4DCVUGWpdSpRqomtHwopr1TjiVaiFyvDvR5P8frLw/rN0jstB8hoYa&#10;GAmpnZ94UsZ6Go1V/FKmjOxE4fFEm2oCk6T8OBqPbz6RSZLtZjyKMsFk52iHPnxRULEo5BypLYkt&#10;cVj50Lr2LvEyC8vSmNQaY1md8+sxQf5mIXBjo0alJncw58yTFI5GRR9jn5RmZZEKiIo0XmphkB0E&#10;DYaQUtmQak+45B29NCXxlsDO/5zVW4LbOvqbwYZTcFVawFT9RdrF9z5l3foT56/qjmJoNk3X0Q0U&#10;R2o0QrsD3sllSd1YCR8eBdLQUwNpkcMDHdoAsQ6dxNkO8Off9NGfZpGsnNW0RDn3P/YCFWfmq6Up&#10;jRvXC9gLm16w+2oBRP+Inggnk0gBGEwvaoTqhfZ7Hm8hk7CS7sr5phcXoV1leh+kms+TE+2VE2Fl&#10;105G6NiNOFvPzYtA1w1goNG9h369xORiDlvfGGlhvg+gyzSkkdCWxY5o2sk05t37EZf+9X/yOr9y&#10;s18AAAD//wMAUEsDBBQABgAIAAAAIQCIbkiV4gAAAA0BAAAPAAAAZHJzL2Rvd25yZXYueG1sTI9L&#10;T8MwEITvSPwHa5G4UeehWCXEqRAVQkgcaHmcnXhJosZ2FDuP8utZTnDcmU+zM8VuNT2bcfSdsxLi&#10;TQQMbe10ZxsJ72+PN1tgPiirVe8sSjijh115eVGoXLvFHnA+hoZRiPW5ktCGMOSc+7pFo/zGDWjJ&#10;+3KjUYHOseF6VAuFm54nUSS4UZ2lD60a8KHF+nScjITX7+pDvHxO52X/vJ8PeHqasjiV8vpqvb8D&#10;FnANfzD81qfqUFKnyk1We9ZLSLZZRigZcZrRKkJuU0FSRVIiRAS8LPj/FeUPAAAA//8DAFBLAQIt&#10;ABQABgAIAAAAIQC2gziS/gAAAOEBAAATAAAAAAAAAAAAAAAAAAAAAABbQ29udGVudF9UeXBlc10u&#10;eG1sUEsBAi0AFAAGAAgAAAAhADj9If/WAAAAlAEAAAsAAAAAAAAAAAAAAAAALwEAAF9yZWxzLy5y&#10;ZWxzUEsBAi0AFAAGAAgAAAAhAMn8zphcAgAALQUAAA4AAAAAAAAAAAAAAAAALgIAAGRycy9lMm9E&#10;b2MueG1sUEsBAi0AFAAGAAgAAAAhAIhuSJXiAAAADQEAAA8AAAAAAAAAAAAAAAAAtgQAAGRycy9k&#10;b3ducmV2LnhtbFBLBQYAAAAABAAEAPMAAADFBQAAAAA=&#10;" filled="f" stroked="f" strokeweight=".5pt">
                    <v:textbox inset="0,0,0,0">
                      <w:txbxContent>
                        <w:p w14:paraId="3D99A116" w14:textId="6BD8203D" w:rsidR="00C63795" w:rsidRDefault="00C63795" w:rsidP="00C63795">
                          <w:pPr>
                            <w:pStyle w:val="Subtitle"/>
                            <w:ind w:left="2160"/>
                            <w:jc w:val="left"/>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Content>
                              <w:r>
                                <w:t>Shawn Stoen, RHPC</w:t>
                              </w:r>
                            </w:sdtContent>
                          </w:sdt>
                        </w:p>
                        <w:p w14:paraId="15BA06D0" w14:textId="3186559D" w:rsidR="0030772E" w:rsidRDefault="00C63795" w:rsidP="00C63795">
                          <w:pPr>
                            <w:pStyle w:val="Contactinfo"/>
                            <w:ind w:left="2952" w:firstLine="648"/>
                            <w:jc w:val="left"/>
                          </w:pPr>
                          <w:r>
                            <w:t xml:space="preserve">    </w:t>
                          </w:r>
                          <w:r w:rsidR="007D0922">
                            <w:t>JUNE</w:t>
                          </w:r>
                          <w:r w:rsidR="00A03FCB">
                            <w:t xml:space="preserve"> 2023</w:t>
                          </w:r>
                        </w:p>
                      </w:txbxContent>
                    </v:textbox>
                    <w10:wrap type="square" anchorx="margin" anchory="margin"/>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7ABD3F54">
                    <wp:simplePos x="0" y="0"/>
                    <wp:positionH relativeFrom="margin">
                      <wp:posOffset>-172085</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5D4F65DA" w:rsidR="0030772E" w:rsidRPr="005D3B38" w:rsidRDefault="00C63795"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30772E" w:rsidRPr="005D3B38">
                                      <w:rPr>
                                        <w:sz w:val="40"/>
                                        <w:szCs w:val="40"/>
                                      </w:rPr>
                                      <w:t>Appendix 3.5.</w:t>
                                    </w:r>
                                    <w:r w:rsidR="0030772E">
                                      <w:rPr>
                                        <w:sz w:val="40"/>
                                        <w:szCs w:val="40"/>
                                      </w:rPr>
                                      <w:t>1.1</w:t>
                                    </w:r>
                                    <w:r w:rsidR="0030772E" w:rsidRPr="005D3B38">
                                      <w:rPr>
                                        <w:sz w:val="40"/>
                                        <w:szCs w:val="40"/>
                                      </w:rPr>
                                      <w:t xml:space="preserve"> wcmhpc </w:t>
                                    </w:r>
                                    <w:r w:rsidR="0030772E">
                                      <w:rPr>
                                        <w:sz w:val="40"/>
                                        <w:szCs w:val="40"/>
                                      </w:rPr>
                                      <w:t>regional burn surge plan</w:t>
                                    </w:r>
                                  </w:sdtContent>
                                </w:sdt>
                                <w:r w:rsidR="0030772E"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13.55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E/d/AvkAAAADQEAAA8AAABkcnMvZG93bnJl&#10;di54bWxMj8tOwzAQRfdI/IM1SOxaJ4E0JcSpEBVCSCxooV078ZBEjcdR7DzK1+OuYDejObpzbraZ&#10;dctG7G1jSEC4DIAhlUY1VAn4+nxZrIFZJ0nJ1hAKOKOFTX59lclUmYl2OO5dxXwI2VQKqJ3rUs5t&#10;WaOWdmk6JH/7Nr2Wzq99xVUvJx+uWx4FwYpr2ZD/UMsOn2ssT/tBC/j4KQ6r9+NwnrZv23GHp9ch&#10;Du+EuL2Znx6BOZzdHwwXfa8OuXcqzEDKslbAIkpCjwpIojAGdiGCdXgPrPBTlDzEwPOM/2+R/wIA&#10;AP//AwBQSwECLQAUAAYACAAAACEAtoM4kv4AAADhAQAAEwAAAAAAAAAAAAAAAAAAAAAAW0NvbnRl&#10;bnRfVHlwZXNdLnhtbFBLAQItABQABgAIAAAAIQA4/SH/1gAAAJQBAAALAAAAAAAAAAAAAAAAAC8B&#10;AABfcmVscy8ucmVsc1BLAQItABQABgAIAAAAIQBwf3EMZAIAADUFAAAOAAAAAAAAAAAAAAAAAC4C&#10;AABkcnMvZTJvRG9jLnhtbFBLAQItABQABgAIAAAAIQBP3fwL5AAAAA0BAAAPAAAAAAAAAAAAAAAA&#10;AL4EAABkcnMvZG93bnJldi54bWxQSwUGAAAAAAQABADzAAAAzwUAAAAA&#10;" filled="f" stroked="f" strokeweight=".5pt">
                    <v:textbox inset="0,0,0,0">
                      <w:txbxContent>
                        <w:p w14:paraId="5C04D67D" w14:textId="5D4F65DA" w:rsidR="0030772E" w:rsidRPr="005D3B38" w:rsidRDefault="00741687"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30772E" w:rsidRPr="005D3B38">
                                <w:rPr>
                                  <w:sz w:val="40"/>
                                  <w:szCs w:val="40"/>
                                </w:rPr>
                                <w:t>Appendix 3.5.</w:t>
                              </w:r>
                              <w:r w:rsidR="0030772E">
                                <w:rPr>
                                  <w:sz w:val="40"/>
                                  <w:szCs w:val="40"/>
                                </w:rPr>
                                <w:t>1.1</w:t>
                              </w:r>
                              <w:r w:rsidR="0030772E" w:rsidRPr="005D3B38">
                                <w:rPr>
                                  <w:sz w:val="40"/>
                                  <w:szCs w:val="40"/>
                                </w:rPr>
                                <w:t xml:space="preserve"> wcmhpc </w:t>
                              </w:r>
                              <w:r w:rsidR="0030772E">
                                <w:rPr>
                                  <w:sz w:val="40"/>
                                  <w:szCs w:val="40"/>
                                </w:rPr>
                                <w:t>regional burn surge plan</w:t>
                              </w:r>
                            </w:sdtContent>
                          </w:sdt>
                          <w:r w:rsidR="0030772E" w:rsidRPr="005D3B38">
                            <w:rPr>
                              <w:sz w:val="40"/>
                              <w:szCs w:val="40"/>
                            </w:rPr>
                            <w:t xml:space="preserve"> </w:t>
                          </w:r>
                        </w:p>
                      </w:txbxContent>
                    </v:textbox>
                    <w10:wrap type="square" anchorx="margin" anchory="page"/>
                    <w10:anchorlock/>
                  </v:shape>
                </w:pict>
              </mc:Fallback>
            </mc:AlternateContent>
          </w:r>
          <w:r w:rsidR="00115477">
            <w:rPr>
              <w:noProof/>
              <w:color w:val="775F55" w:themeColor="text2"/>
              <w:sz w:val="32"/>
              <w:szCs w:val="32"/>
            </w:rPr>
            <w:br w:type="page"/>
          </w:r>
        </w:p>
        <w:p w14:paraId="35603FAC" w14:textId="77777777" w:rsidR="00CB6975" w:rsidRDefault="00C63795" w:rsidP="00CB6975">
          <w:pPr>
            <w:spacing w:after="0"/>
            <w:ind w:left="720" w:right="0"/>
            <w:jc w:val="both"/>
            <w:rPr>
              <w:noProof/>
              <w:color w:val="775F55" w:themeColor="text2"/>
              <w:sz w:val="32"/>
              <w:szCs w:val="32"/>
            </w:rPr>
          </w:pPr>
        </w:p>
      </w:sdtContent>
    </w:sdt>
    <w:sdt>
      <w:sdtPr>
        <w:rPr>
          <w:rFonts w:asciiTheme="minorHAnsi" w:eastAsiaTheme="minorEastAsia" w:hAnsiTheme="minorHAnsi" w:cstheme="minorBidi"/>
          <w:caps w:val="0"/>
          <w:color w:val="auto"/>
          <w:sz w:val="24"/>
          <w:szCs w:val="22"/>
        </w:rPr>
        <w:id w:val="965938367"/>
        <w:docPartObj>
          <w:docPartGallery w:val="Table of Contents"/>
          <w:docPartUnique/>
        </w:docPartObj>
      </w:sdtPr>
      <w:sdtEndPr>
        <w:rPr>
          <w:b/>
          <w:bCs/>
          <w:noProof/>
        </w:rPr>
      </w:sdtEndPr>
      <w:sdtContent>
        <w:p w14:paraId="73F15D3E" w14:textId="53612755" w:rsidR="00E92CF7" w:rsidRDefault="00E92CF7">
          <w:pPr>
            <w:pStyle w:val="TOCHeading"/>
          </w:pPr>
          <w:r>
            <w:t>Contents</w:t>
          </w:r>
        </w:p>
        <w:p w14:paraId="10F6A784" w14:textId="67515FFE" w:rsidR="00741687" w:rsidRDefault="00E92CF7">
          <w:pPr>
            <w:pStyle w:val="TOC1"/>
            <w:tabs>
              <w:tab w:val="right" w:leader="dot" w:pos="9566"/>
            </w:tabs>
            <w:rPr>
              <w:noProof/>
              <w:kern w:val="2"/>
              <w:sz w:val="22"/>
              <w:lang w:eastAsia="en-US"/>
              <w14:ligatures w14:val="standardContextual"/>
            </w:rPr>
          </w:pPr>
          <w:r>
            <w:fldChar w:fldCharType="begin"/>
          </w:r>
          <w:r>
            <w:instrText xml:space="preserve"> TOC \o "1-3" \h \z \u </w:instrText>
          </w:r>
          <w:r>
            <w:fldChar w:fldCharType="separate"/>
          </w:r>
          <w:hyperlink w:anchor="_Toc136889939" w:history="1">
            <w:r w:rsidR="00741687" w:rsidRPr="001E2D6D">
              <w:rPr>
                <w:rStyle w:val="Hyperlink"/>
                <w:noProof/>
              </w:rPr>
              <w:t>Introduction</w:t>
            </w:r>
            <w:r w:rsidR="00741687">
              <w:rPr>
                <w:noProof/>
                <w:webHidden/>
              </w:rPr>
              <w:tab/>
            </w:r>
            <w:r w:rsidR="00741687">
              <w:rPr>
                <w:noProof/>
                <w:webHidden/>
              </w:rPr>
              <w:fldChar w:fldCharType="begin"/>
            </w:r>
            <w:r w:rsidR="00741687">
              <w:rPr>
                <w:noProof/>
                <w:webHidden/>
              </w:rPr>
              <w:instrText xml:space="preserve"> PAGEREF _Toc136889939 \h </w:instrText>
            </w:r>
            <w:r w:rsidR="00741687">
              <w:rPr>
                <w:noProof/>
                <w:webHidden/>
              </w:rPr>
            </w:r>
            <w:r w:rsidR="00741687">
              <w:rPr>
                <w:noProof/>
                <w:webHidden/>
              </w:rPr>
              <w:fldChar w:fldCharType="separate"/>
            </w:r>
            <w:r w:rsidR="00741687">
              <w:rPr>
                <w:noProof/>
                <w:webHidden/>
              </w:rPr>
              <w:t>3</w:t>
            </w:r>
            <w:r w:rsidR="00741687">
              <w:rPr>
                <w:noProof/>
                <w:webHidden/>
              </w:rPr>
              <w:fldChar w:fldCharType="end"/>
            </w:r>
          </w:hyperlink>
        </w:p>
        <w:p w14:paraId="61853051" w14:textId="776DDF42" w:rsidR="00741687" w:rsidRDefault="00C63795">
          <w:pPr>
            <w:pStyle w:val="TOC2"/>
            <w:tabs>
              <w:tab w:val="right" w:leader="dot" w:pos="9566"/>
            </w:tabs>
            <w:rPr>
              <w:noProof/>
              <w:kern w:val="2"/>
              <w:sz w:val="22"/>
              <w:lang w:eastAsia="en-US"/>
              <w14:ligatures w14:val="standardContextual"/>
            </w:rPr>
          </w:pPr>
          <w:hyperlink w:anchor="_Toc136889940" w:history="1">
            <w:r w:rsidR="00741687" w:rsidRPr="001E2D6D">
              <w:rPr>
                <w:rStyle w:val="Hyperlink"/>
                <w:rFonts w:eastAsia="Times New Roman"/>
                <w:noProof/>
              </w:rPr>
              <w:t>Purpose</w:t>
            </w:r>
            <w:r w:rsidR="00741687">
              <w:rPr>
                <w:noProof/>
                <w:webHidden/>
              </w:rPr>
              <w:tab/>
            </w:r>
            <w:r w:rsidR="00741687">
              <w:rPr>
                <w:noProof/>
                <w:webHidden/>
              </w:rPr>
              <w:fldChar w:fldCharType="begin"/>
            </w:r>
            <w:r w:rsidR="00741687">
              <w:rPr>
                <w:noProof/>
                <w:webHidden/>
              </w:rPr>
              <w:instrText xml:space="preserve"> PAGEREF _Toc136889940 \h </w:instrText>
            </w:r>
            <w:r w:rsidR="00741687">
              <w:rPr>
                <w:noProof/>
                <w:webHidden/>
              </w:rPr>
            </w:r>
            <w:r w:rsidR="00741687">
              <w:rPr>
                <w:noProof/>
                <w:webHidden/>
              </w:rPr>
              <w:fldChar w:fldCharType="separate"/>
            </w:r>
            <w:r w:rsidR="00741687">
              <w:rPr>
                <w:noProof/>
                <w:webHidden/>
              </w:rPr>
              <w:t>3</w:t>
            </w:r>
            <w:r w:rsidR="00741687">
              <w:rPr>
                <w:noProof/>
                <w:webHidden/>
              </w:rPr>
              <w:fldChar w:fldCharType="end"/>
            </w:r>
          </w:hyperlink>
        </w:p>
        <w:p w14:paraId="4D9B8A90" w14:textId="0C5B6CDD" w:rsidR="00741687" w:rsidRDefault="00C63795">
          <w:pPr>
            <w:pStyle w:val="TOC2"/>
            <w:tabs>
              <w:tab w:val="right" w:leader="dot" w:pos="9566"/>
            </w:tabs>
            <w:rPr>
              <w:noProof/>
              <w:kern w:val="2"/>
              <w:sz w:val="22"/>
              <w:lang w:eastAsia="en-US"/>
              <w14:ligatures w14:val="standardContextual"/>
            </w:rPr>
          </w:pPr>
          <w:hyperlink w:anchor="_Toc136889941" w:history="1">
            <w:r w:rsidR="00741687" w:rsidRPr="001E2D6D">
              <w:rPr>
                <w:rStyle w:val="Hyperlink"/>
                <w:rFonts w:eastAsia="Times New Roman"/>
                <w:noProof/>
              </w:rPr>
              <w:t>Scope</w:t>
            </w:r>
            <w:r w:rsidR="00741687">
              <w:rPr>
                <w:noProof/>
                <w:webHidden/>
              </w:rPr>
              <w:tab/>
            </w:r>
            <w:r w:rsidR="00741687">
              <w:rPr>
                <w:noProof/>
                <w:webHidden/>
              </w:rPr>
              <w:fldChar w:fldCharType="begin"/>
            </w:r>
            <w:r w:rsidR="00741687">
              <w:rPr>
                <w:noProof/>
                <w:webHidden/>
              </w:rPr>
              <w:instrText xml:space="preserve"> PAGEREF _Toc136889941 \h </w:instrText>
            </w:r>
            <w:r w:rsidR="00741687">
              <w:rPr>
                <w:noProof/>
                <w:webHidden/>
              </w:rPr>
            </w:r>
            <w:r w:rsidR="00741687">
              <w:rPr>
                <w:noProof/>
                <w:webHidden/>
              </w:rPr>
              <w:fldChar w:fldCharType="separate"/>
            </w:r>
            <w:r w:rsidR="00741687">
              <w:rPr>
                <w:noProof/>
                <w:webHidden/>
              </w:rPr>
              <w:t>3</w:t>
            </w:r>
            <w:r w:rsidR="00741687">
              <w:rPr>
                <w:noProof/>
                <w:webHidden/>
              </w:rPr>
              <w:fldChar w:fldCharType="end"/>
            </w:r>
          </w:hyperlink>
        </w:p>
        <w:p w14:paraId="631F88CF" w14:textId="3D5DDFF3" w:rsidR="00741687" w:rsidRDefault="00C63795">
          <w:pPr>
            <w:pStyle w:val="TOC2"/>
            <w:tabs>
              <w:tab w:val="right" w:leader="dot" w:pos="9566"/>
            </w:tabs>
            <w:rPr>
              <w:noProof/>
              <w:kern w:val="2"/>
              <w:sz w:val="22"/>
              <w:lang w:eastAsia="en-US"/>
              <w14:ligatures w14:val="standardContextual"/>
            </w:rPr>
          </w:pPr>
          <w:hyperlink w:anchor="_Toc136889942" w:history="1">
            <w:r w:rsidR="00741687" w:rsidRPr="001E2D6D">
              <w:rPr>
                <w:rStyle w:val="Hyperlink"/>
                <w:noProof/>
              </w:rPr>
              <w:t>Overview/background of HCC and situation</w:t>
            </w:r>
            <w:r w:rsidR="00741687">
              <w:rPr>
                <w:noProof/>
                <w:webHidden/>
              </w:rPr>
              <w:tab/>
            </w:r>
            <w:r w:rsidR="00741687">
              <w:rPr>
                <w:noProof/>
                <w:webHidden/>
              </w:rPr>
              <w:fldChar w:fldCharType="begin"/>
            </w:r>
            <w:r w:rsidR="00741687">
              <w:rPr>
                <w:noProof/>
                <w:webHidden/>
              </w:rPr>
              <w:instrText xml:space="preserve"> PAGEREF _Toc136889942 \h </w:instrText>
            </w:r>
            <w:r w:rsidR="00741687">
              <w:rPr>
                <w:noProof/>
                <w:webHidden/>
              </w:rPr>
            </w:r>
            <w:r w:rsidR="00741687">
              <w:rPr>
                <w:noProof/>
                <w:webHidden/>
              </w:rPr>
              <w:fldChar w:fldCharType="separate"/>
            </w:r>
            <w:r w:rsidR="00741687">
              <w:rPr>
                <w:noProof/>
                <w:webHidden/>
              </w:rPr>
              <w:t>3</w:t>
            </w:r>
            <w:r w:rsidR="00741687">
              <w:rPr>
                <w:noProof/>
                <w:webHidden/>
              </w:rPr>
              <w:fldChar w:fldCharType="end"/>
            </w:r>
          </w:hyperlink>
        </w:p>
        <w:p w14:paraId="4BD04683" w14:textId="43D93237" w:rsidR="00741687" w:rsidRDefault="00C63795">
          <w:pPr>
            <w:pStyle w:val="TOC2"/>
            <w:tabs>
              <w:tab w:val="right" w:leader="dot" w:pos="9566"/>
            </w:tabs>
            <w:rPr>
              <w:noProof/>
              <w:kern w:val="2"/>
              <w:sz w:val="22"/>
              <w:lang w:eastAsia="en-US"/>
              <w14:ligatures w14:val="standardContextual"/>
            </w:rPr>
          </w:pPr>
          <w:hyperlink w:anchor="_Toc136889943" w:history="1">
            <w:r w:rsidR="00741687" w:rsidRPr="001E2D6D">
              <w:rPr>
                <w:rStyle w:val="Hyperlink"/>
                <w:rFonts w:eastAsia="Times New Roman"/>
                <w:noProof/>
              </w:rPr>
              <w:t>Assumptions</w:t>
            </w:r>
            <w:r w:rsidR="00741687">
              <w:rPr>
                <w:noProof/>
                <w:webHidden/>
              </w:rPr>
              <w:tab/>
            </w:r>
            <w:r w:rsidR="00741687">
              <w:rPr>
                <w:noProof/>
                <w:webHidden/>
              </w:rPr>
              <w:fldChar w:fldCharType="begin"/>
            </w:r>
            <w:r w:rsidR="00741687">
              <w:rPr>
                <w:noProof/>
                <w:webHidden/>
              </w:rPr>
              <w:instrText xml:space="preserve"> PAGEREF _Toc136889943 \h </w:instrText>
            </w:r>
            <w:r w:rsidR="00741687">
              <w:rPr>
                <w:noProof/>
                <w:webHidden/>
              </w:rPr>
            </w:r>
            <w:r w:rsidR="00741687">
              <w:rPr>
                <w:noProof/>
                <w:webHidden/>
              </w:rPr>
              <w:fldChar w:fldCharType="separate"/>
            </w:r>
            <w:r w:rsidR="00741687">
              <w:rPr>
                <w:noProof/>
                <w:webHidden/>
              </w:rPr>
              <w:t>4</w:t>
            </w:r>
            <w:r w:rsidR="00741687">
              <w:rPr>
                <w:noProof/>
                <w:webHidden/>
              </w:rPr>
              <w:fldChar w:fldCharType="end"/>
            </w:r>
          </w:hyperlink>
        </w:p>
        <w:p w14:paraId="102DFD37" w14:textId="76DECBD9" w:rsidR="00741687" w:rsidRDefault="00C63795">
          <w:pPr>
            <w:pStyle w:val="TOC1"/>
            <w:tabs>
              <w:tab w:val="right" w:leader="dot" w:pos="9566"/>
            </w:tabs>
            <w:rPr>
              <w:noProof/>
              <w:kern w:val="2"/>
              <w:sz w:val="22"/>
              <w:lang w:eastAsia="en-US"/>
              <w14:ligatures w14:val="standardContextual"/>
            </w:rPr>
          </w:pPr>
          <w:hyperlink w:anchor="_Toc136889944" w:history="1">
            <w:r w:rsidR="00741687" w:rsidRPr="001E2D6D">
              <w:rPr>
                <w:rStyle w:val="Hyperlink"/>
                <w:noProof/>
              </w:rPr>
              <w:t>Concept of</w:t>
            </w:r>
            <w:r w:rsidR="00741687" w:rsidRPr="001E2D6D">
              <w:rPr>
                <w:rStyle w:val="Hyperlink"/>
                <w:noProof/>
                <w:spacing w:val="-6"/>
              </w:rPr>
              <w:t xml:space="preserve"> </w:t>
            </w:r>
            <w:r w:rsidR="00741687" w:rsidRPr="001E2D6D">
              <w:rPr>
                <w:rStyle w:val="Hyperlink"/>
                <w:noProof/>
              </w:rPr>
              <w:t>Operations</w:t>
            </w:r>
            <w:r w:rsidR="00741687">
              <w:rPr>
                <w:noProof/>
                <w:webHidden/>
              </w:rPr>
              <w:tab/>
            </w:r>
            <w:r w:rsidR="00741687">
              <w:rPr>
                <w:noProof/>
                <w:webHidden/>
              </w:rPr>
              <w:fldChar w:fldCharType="begin"/>
            </w:r>
            <w:r w:rsidR="00741687">
              <w:rPr>
                <w:noProof/>
                <w:webHidden/>
              </w:rPr>
              <w:instrText xml:space="preserve"> PAGEREF _Toc136889944 \h </w:instrText>
            </w:r>
            <w:r w:rsidR="00741687">
              <w:rPr>
                <w:noProof/>
                <w:webHidden/>
              </w:rPr>
            </w:r>
            <w:r w:rsidR="00741687">
              <w:rPr>
                <w:noProof/>
                <w:webHidden/>
              </w:rPr>
              <w:fldChar w:fldCharType="separate"/>
            </w:r>
            <w:r w:rsidR="00741687">
              <w:rPr>
                <w:noProof/>
                <w:webHidden/>
              </w:rPr>
              <w:t>5</w:t>
            </w:r>
            <w:r w:rsidR="00741687">
              <w:rPr>
                <w:noProof/>
                <w:webHidden/>
              </w:rPr>
              <w:fldChar w:fldCharType="end"/>
            </w:r>
          </w:hyperlink>
        </w:p>
        <w:p w14:paraId="4F57D07D" w14:textId="2B51DA66" w:rsidR="00741687" w:rsidRDefault="00C63795">
          <w:pPr>
            <w:pStyle w:val="TOC2"/>
            <w:tabs>
              <w:tab w:val="right" w:leader="dot" w:pos="9566"/>
            </w:tabs>
            <w:rPr>
              <w:noProof/>
              <w:kern w:val="2"/>
              <w:sz w:val="22"/>
              <w:lang w:eastAsia="en-US"/>
              <w14:ligatures w14:val="standardContextual"/>
            </w:rPr>
          </w:pPr>
          <w:hyperlink w:anchor="_Toc136889945" w:history="1">
            <w:r w:rsidR="00741687" w:rsidRPr="001E2D6D">
              <w:rPr>
                <w:rStyle w:val="Hyperlink"/>
                <w:noProof/>
              </w:rPr>
              <w:t>Activation</w:t>
            </w:r>
            <w:r w:rsidR="00741687">
              <w:rPr>
                <w:noProof/>
                <w:webHidden/>
              </w:rPr>
              <w:tab/>
            </w:r>
            <w:r w:rsidR="00741687">
              <w:rPr>
                <w:noProof/>
                <w:webHidden/>
              </w:rPr>
              <w:fldChar w:fldCharType="begin"/>
            </w:r>
            <w:r w:rsidR="00741687">
              <w:rPr>
                <w:noProof/>
                <w:webHidden/>
              </w:rPr>
              <w:instrText xml:space="preserve"> PAGEREF _Toc136889945 \h </w:instrText>
            </w:r>
            <w:r w:rsidR="00741687">
              <w:rPr>
                <w:noProof/>
                <w:webHidden/>
              </w:rPr>
            </w:r>
            <w:r w:rsidR="00741687">
              <w:rPr>
                <w:noProof/>
                <w:webHidden/>
              </w:rPr>
              <w:fldChar w:fldCharType="separate"/>
            </w:r>
            <w:r w:rsidR="00741687">
              <w:rPr>
                <w:noProof/>
                <w:webHidden/>
              </w:rPr>
              <w:t>5</w:t>
            </w:r>
            <w:r w:rsidR="00741687">
              <w:rPr>
                <w:noProof/>
                <w:webHidden/>
              </w:rPr>
              <w:fldChar w:fldCharType="end"/>
            </w:r>
          </w:hyperlink>
        </w:p>
        <w:p w14:paraId="76E63D60" w14:textId="7D700010" w:rsidR="00741687" w:rsidRDefault="00C63795">
          <w:pPr>
            <w:pStyle w:val="TOC2"/>
            <w:tabs>
              <w:tab w:val="right" w:leader="dot" w:pos="9566"/>
            </w:tabs>
            <w:rPr>
              <w:noProof/>
              <w:kern w:val="2"/>
              <w:sz w:val="22"/>
              <w:lang w:eastAsia="en-US"/>
              <w14:ligatures w14:val="standardContextual"/>
            </w:rPr>
          </w:pPr>
          <w:hyperlink w:anchor="_Toc136889946" w:history="1">
            <w:r w:rsidR="00741687" w:rsidRPr="001E2D6D">
              <w:rPr>
                <w:rStyle w:val="Hyperlink"/>
                <w:noProof/>
              </w:rPr>
              <w:t>Notifications</w:t>
            </w:r>
            <w:r w:rsidR="00741687">
              <w:rPr>
                <w:noProof/>
                <w:webHidden/>
              </w:rPr>
              <w:tab/>
            </w:r>
            <w:r w:rsidR="00741687">
              <w:rPr>
                <w:noProof/>
                <w:webHidden/>
              </w:rPr>
              <w:fldChar w:fldCharType="begin"/>
            </w:r>
            <w:r w:rsidR="00741687">
              <w:rPr>
                <w:noProof/>
                <w:webHidden/>
              </w:rPr>
              <w:instrText xml:space="preserve"> PAGEREF _Toc136889946 \h </w:instrText>
            </w:r>
            <w:r w:rsidR="00741687">
              <w:rPr>
                <w:noProof/>
                <w:webHidden/>
              </w:rPr>
            </w:r>
            <w:r w:rsidR="00741687">
              <w:rPr>
                <w:noProof/>
                <w:webHidden/>
              </w:rPr>
              <w:fldChar w:fldCharType="separate"/>
            </w:r>
            <w:r w:rsidR="00741687">
              <w:rPr>
                <w:noProof/>
                <w:webHidden/>
              </w:rPr>
              <w:t>5</w:t>
            </w:r>
            <w:r w:rsidR="00741687">
              <w:rPr>
                <w:noProof/>
                <w:webHidden/>
              </w:rPr>
              <w:fldChar w:fldCharType="end"/>
            </w:r>
          </w:hyperlink>
        </w:p>
        <w:p w14:paraId="79CD7047" w14:textId="218C5F9D" w:rsidR="00741687" w:rsidRDefault="00C63795">
          <w:pPr>
            <w:pStyle w:val="TOC2"/>
            <w:tabs>
              <w:tab w:val="right" w:leader="dot" w:pos="9566"/>
            </w:tabs>
            <w:rPr>
              <w:noProof/>
              <w:kern w:val="2"/>
              <w:sz w:val="22"/>
              <w:lang w:eastAsia="en-US"/>
              <w14:ligatures w14:val="standardContextual"/>
            </w:rPr>
          </w:pPr>
          <w:hyperlink w:anchor="_Toc136889947" w:history="1">
            <w:r w:rsidR="00741687" w:rsidRPr="001E2D6D">
              <w:rPr>
                <w:rStyle w:val="Hyperlink"/>
                <w:noProof/>
              </w:rPr>
              <w:t>Roles and Responsibilities</w:t>
            </w:r>
            <w:r w:rsidR="00741687">
              <w:rPr>
                <w:noProof/>
                <w:webHidden/>
              </w:rPr>
              <w:tab/>
            </w:r>
            <w:r w:rsidR="00741687">
              <w:rPr>
                <w:noProof/>
                <w:webHidden/>
              </w:rPr>
              <w:fldChar w:fldCharType="begin"/>
            </w:r>
            <w:r w:rsidR="00741687">
              <w:rPr>
                <w:noProof/>
                <w:webHidden/>
              </w:rPr>
              <w:instrText xml:space="preserve"> PAGEREF _Toc136889947 \h </w:instrText>
            </w:r>
            <w:r w:rsidR="00741687">
              <w:rPr>
                <w:noProof/>
                <w:webHidden/>
              </w:rPr>
            </w:r>
            <w:r w:rsidR="00741687">
              <w:rPr>
                <w:noProof/>
                <w:webHidden/>
              </w:rPr>
              <w:fldChar w:fldCharType="separate"/>
            </w:r>
            <w:r w:rsidR="00741687">
              <w:rPr>
                <w:noProof/>
                <w:webHidden/>
              </w:rPr>
              <w:t>5</w:t>
            </w:r>
            <w:r w:rsidR="00741687">
              <w:rPr>
                <w:noProof/>
                <w:webHidden/>
              </w:rPr>
              <w:fldChar w:fldCharType="end"/>
            </w:r>
          </w:hyperlink>
        </w:p>
        <w:p w14:paraId="59593CEB" w14:textId="5F862003" w:rsidR="00741687" w:rsidRDefault="00C63795">
          <w:pPr>
            <w:pStyle w:val="TOC3"/>
            <w:tabs>
              <w:tab w:val="right" w:leader="dot" w:pos="9566"/>
            </w:tabs>
            <w:rPr>
              <w:noProof/>
              <w:kern w:val="2"/>
              <w:sz w:val="22"/>
              <w:lang w:eastAsia="en-US"/>
              <w14:ligatures w14:val="standardContextual"/>
            </w:rPr>
          </w:pPr>
          <w:hyperlink w:anchor="_Toc136889948" w:history="1">
            <w:r w:rsidR="00741687" w:rsidRPr="001E2D6D">
              <w:rPr>
                <w:rStyle w:val="Hyperlink"/>
                <w:noProof/>
              </w:rPr>
              <w:t>Initial Receiving</w:t>
            </w:r>
            <w:r w:rsidR="00741687" w:rsidRPr="001E2D6D">
              <w:rPr>
                <w:rStyle w:val="Hyperlink"/>
                <w:noProof/>
                <w:spacing w:val="-10"/>
              </w:rPr>
              <w:t xml:space="preserve"> </w:t>
            </w:r>
            <w:r w:rsidR="00741687" w:rsidRPr="001E2D6D">
              <w:rPr>
                <w:rStyle w:val="Hyperlink"/>
                <w:noProof/>
              </w:rPr>
              <w:t>Hospital(s)</w:t>
            </w:r>
            <w:r w:rsidR="00741687">
              <w:rPr>
                <w:noProof/>
                <w:webHidden/>
              </w:rPr>
              <w:tab/>
            </w:r>
            <w:r w:rsidR="00741687">
              <w:rPr>
                <w:noProof/>
                <w:webHidden/>
              </w:rPr>
              <w:fldChar w:fldCharType="begin"/>
            </w:r>
            <w:r w:rsidR="00741687">
              <w:rPr>
                <w:noProof/>
                <w:webHidden/>
              </w:rPr>
              <w:instrText xml:space="preserve"> PAGEREF _Toc136889948 \h </w:instrText>
            </w:r>
            <w:r w:rsidR="00741687">
              <w:rPr>
                <w:noProof/>
                <w:webHidden/>
              </w:rPr>
            </w:r>
            <w:r w:rsidR="00741687">
              <w:rPr>
                <w:noProof/>
                <w:webHidden/>
              </w:rPr>
              <w:fldChar w:fldCharType="separate"/>
            </w:r>
            <w:r w:rsidR="00741687">
              <w:rPr>
                <w:noProof/>
                <w:webHidden/>
              </w:rPr>
              <w:t>6</w:t>
            </w:r>
            <w:r w:rsidR="00741687">
              <w:rPr>
                <w:noProof/>
                <w:webHidden/>
              </w:rPr>
              <w:fldChar w:fldCharType="end"/>
            </w:r>
          </w:hyperlink>
        </w:p>
        <w:p w14:paraId="4F82D737" w14:textId="6D627E19" w:rsidR="00741687" w:rsidRDefault="00C63795">
          <w:pPr>
            <w:pStyle w:val="TOC3"/>
            <w:tabs>
              <w:tab w:val="right" w:leader="dot" w:pos="9566"/>
            </w:tabs>
            <w:rPr>
              <w:noProof/>
              <w:kern w:val="2"/>
              <w:sz w:val="22"/>
              <w:lang w:eastAsia="en-US"/>
              <w14:ligatures w14:val="standardContextual"/>
            </w:rPr>
          </w:pPr>
          <w:hyperlink w:anchor="_Toc136889949" w:history="1">
            <w:r w:rsidR="00741687" w:rsidRPr="001E2D6D">
              <w:rPr>
                <w:rStyle w:val="Hyperlink"/>
                <w:noProof/>
              </w:rPr>
              <w:t>Burn center</w:t>
            </w:r>
            <w:r w:rsidR="00741687">
              <w:rPr>
                <w:noProof/>
                <w:webHidden/>
              </w:rPr>
              <w:tab/>
            </w:r>
            <w:r w:rsidR="00741687">
              <w:rPr>
                <w:noProof/>
                <w:webHidden/>
              </w:rPr>
              <w:fldChar w:fldCharType="begin"/>
            </w:r>
            <w:r w:rsidR="00741687">
              <w:rPr>
                <w:noProof/>
                <w:webHidden/>
              </w:rPr>
              <w:instrText xml:space="preserve"> PAGEREF _Toc136889949 \h </w:instrText>
            </w:r>
            <w:r w:rsidR="00741687">
              <w:rPr>
                <w:noProof/>
                <w:webHidden/>
              </w:rPr>
            </w:r>
            <w:r w:rsidR="00741687">
              <w:rPr>
                <w:noProof/>
                <w:webHidden/>
              </w:rPr>
              <w:fldChar w:fldCharType="separate"/>
            </w:r>
            <w:r w:rsidR="00741687">
              <w:rPr>
                <w:noProof/>
                <w:webHidden/>
              </w:rPr>
              <w:t>6</w:t>
            </w:r>
            <w:r w:rsidR="00741687">
              <w:rPr>
                <w:noProof/>
                <w:webHidden/>
              </w:rPr>
              <w:fldChar w:fldCharType="end"/>
            </w:r>
          </w:hyperlink>
        </w:p>
        <w:p w14:paraId="69873CA2" w14:textId="1108E0E3" w:rsidR="00741687" w:rsidRDefault="00C63795">
          <w:pPr>
            <w:pStyle w:val="TOC3"/>
            <w:tabs>
              <w:tab w:val="right" w:leader="dot" w:pos="9566"/>
            </w:tabs>
            <w:rPr>
              <w:noProof/>
              <w:kern w:val="2"/>
              <w:sz w:val="22"/>
              <w:lang w:eastAsia="en-US"/>
              <w14:ligatures w14:val="standardContextual"/>
            </w:rPr>
          </w:pPr>
          <w:hyperlink w:anchor="_Toc136889950" w:history="1">
            <w:r w:rsidR="00741687" w:rsidRPr="001E2D6D">
              <w:rPr>
                <w:rStyle w:val="Hyperlink"/>
                <w:rFonts w:eastAsia="Times New Roman"/>
                <w:noProof/>
              </w:rPr>
              <w:t>Burn surge facility</w:t>
            </w:r>
            <w:r w:rsidR="00741687">
              <w:rPr>
                <w:noProof/>
                <w:webHidden/>
              </w:rPr>
              <w:tab/>
            </w:r>
            <w:r w:rsidR="00741687">
              <w:rPr>
                <w:noProof/>
                <w:webHidden/>
              </w:rPr>
              <w:fldChar w:fldCharType="begin"/>
            </w:r>
            <w:r w:rsidR="00741687">
              <w:rPr>
                <w:noProof/>
                <w:webHidden/>
              </w:rPr>
              <w:instrText xml:space="preserve"> PAGEREF _Toc136889950 \h </w:instrText>
            </w:r>
            <w:r w:rsidR="00741687">
              <w:rPr>
                <w:noProof/>
                <w:webHidden/>
              </w:rPr>
            </w:r>
            <w:r w:rsidR="00741687">
              <w:rPr>
                <w:noProof/>
                <w:webHidden/>
              </w:rPr>
              <w:fldChar w:fldCharType="separate"/>
            </w:r>
            <w:r w:rsidR="00741687">
              <w:rPr>
                <w:noProof/>
                <w:webHidden/>
              </w:rPr>
              <w:t>6</w:t>
            </w:r>
            <w:r w:rsidR="00741687">
              <w:rPr>
                <w:noProof/>
                <w:webHidden/>
              </w:rPr>
              <w:fldChar w:fldCharType="end"/>
            </w:r>
          </w:hyperlink>
        </w:p>
        <w:p w14:paraId="042E0306" w14:textId="59EB34A4" w:rsidR="00741687" w:rsidRDefault="00C63795">
          <w:pPr>
            <w:pStyle w:val="TOC3"/>
            <w:tabs>
              <w:tab w:val="right" w:leader="dot" w:pos="9566"/>
            </w:tabs>
            <w:rPr>
              <w:noProof/>
              <w:kern w:val="2"/>
              <w:sz w:val="22"/>
              <w:lang w:eastAsia="en-US"/>
              <w14:ligatures w14:val="standardContextual"/>
            </w:rPr>
          </w:pPr>
          <w:hyperlink w:anchor="_Toc136889951" w:history="1">
            <w:r w:rsidR="00741687" w:rsidRPr="001E2D6D">
              <w:rPr>
                <w:rStyle w:val="Hyperlink"/>
                <w:noProof/>
              </w:rPr>
              <w:t>Regional Healthcare Preparedness Coordinators</w:t>
            </w:r>
            <w:r w:rsidR="00741687" w:rsidRPr="001E2D6D">
              <w:rPr>
                <w:rStyle w:val="Hyperlink"/>
                <w:noProof/>
                <w:spacing w:val="-19"/>
              </w:rPr>
              <w:t xml:space="preserve"> </w:t>
            </w:r>
            <w:r w:rsidR="00741687" w:rsidRPr="001E2D6D">
              <w:rPr>
                <w:rStyle w:val="Hyperlink"/>
                <w:noProof/>
              </w:rPr>
              <w:t>(RHPC)</w:t>
            </w:r>
            <w:r w:rsidR="00741687">
              <w:rPr>
                <w:noProof/>
                <w:webHidden/>
              </w:rPr>
              <w:tab/>
            </w:r>
            <w:r w:rsidR="00741687">
              <w:rPr>
                <w:noProof/>
                <w:webHidden/>
              </w:rPr>
              <w:fldChar w:fldCharType="begin"/>
            </w:r>
            <w:r w:rsidR="00741687">
              <w:rPr>
                <w:noProof/>
                <w:webHidden/>
              </w:rPr>
              <w:instrText xml:space="preserve"> PAGEREF _Toc136889951 \h </w:instrText>
            </w:r>
            <w:r w:rsidR="00741687">
              <w:rPr>
                <w:noProof/>
                <w:webHidden/>
              </w:rPr>
            </w:r>
            <w:r w:rsidR="00741687">
              <w:rPr>
                <w:noProof/>
                <w:webHidden/>
              </w:rPr>
              <w:fldChar w:fldCharType="separate"/>
            </w:r>
            <w:r w:rsidR="00741687">
              <w:rPr>
                <w:noProof/>
                <w:webHidden/>
              </w:rPr>
              <w:t>6</w:t>
            </w:r>
            <w:r w:rsidR="00741687">
              <w:rPr>
                <w:noProof/>
                <w:webHidden/>
              </w:rPr>
              <w:fldChar w:fldCharType="end"/>
            </w:r>
          </w:hyperlink>
        </w:p>
        <w:p w14:paraId="7436AD6E" w14:textId="635DCC95" w:rsidR="00741687" w:rsidRDefault="00C63795">
          <w:pPr>
            <w:pStyle w:val="TOC2"/>
            <w:tabs>
              <w:tab w:val="right" w:leader="dot" w:pos="9566"/>
            </w:tabs>
            <w:rPr>
              <w:noProof/>
              <w:kern w:val="2"/>
              <w:sz w:val="22"/>
              <w:lang w:eastAsia="en-US"/>
              <w14:ligatures w14:val="standardContextual"/>
            </w:rPr>
          </w:pPr>
          <w:hyperlink w:anchor="_Toc136889952" w:history="1">
            <w:r w:rsidR="00741687" w:rsidRPr="001E2D6D">
              <w:rPr>
                <w:rStyle w:val="Hyperlink"/>
                <w:rFonts w:eastAsia="Times New Roman"/>
                <w:noProof/>
              </w:rPr>
              <w:t>Logistics</w:t>
            </w:r>
            <w:r w:rsidR="00741687">
              <w:rPr>
                <w:noProof/>
                <w:webHidden/>
              </w:rPr>
              <w:tab/>
            </w:r>
            <w:r w:rsidR="00741687">
              <w:rPr>
                <w:noProof/>
                <w:webHidden/>
              </w:rPr>
              <w:fldChar w:fldCharType="begin"/>
            </w:r>
            <w:r w:rsidR="00741687">
              <w:rPr>
                <w:noProof/>
                <w:webHidden/>
              </w:rPr>
              <w:instrText xml:space="preserve"> PAGEREF _Toc136889952 \h </w:instrText>
            </w:r>
            <w:r w:rsidR="00741687">
              <w:rPr>
                <w:noProof/>
                <w:webHidden/>
              </w:rPr>
            </w:r>
            <w:r w:rsidR="00741687">
              <w:rPr>
                <w:noProof/>
                <w:webHidden/>
              </w:rPr>
              <w:fldChar w:fldCharType="separate"/>
            </w:r>
            <w:r w:rsidR="00741687">
              <w:rPr>
                <w:noProof/>
                <w:webHidden/>
              </w:rPr>
              <w:t>7</w:t>
            </w:r>
            <w:r w:rsidR="00741687">
              <w:rPr>
                <w:noProof/>
                <w:webHidden/>
              </w:rPr>
              <w:fldChar w:fldCharType="end"/>
            </w:r>
          </w:hyperlink>
        </w:p>
        <w:p w14:paraId="70A85443" w14:textId="4FEDAE00" w:rsidR="00741687" w:rsidRDefault="00C63795">
          <w:pPr>
            <w:pStyle w:val="TOC3"/>
            <w:tabs>
              <w:tab w:val="right" w:leader="dot" w:pos="9566"/>
            </w:tabs>
            <w:rPr>
              <w:noProof/>
              <w:kern w:val="2"/>
              <w:sz w:val="22"/>
              <w:lang w:eastAsia="en-US"/>
              <w14:ligatures w14:val="standardContextual"/>
            </w:rPr>
          </w:pPr>
          <w:hyperlink w:anchor="_Toc136889953" w:history="1">
            <w:r w:rsidR="00741687" w:rsidRPr="001E2D6D">
              <w:rPr>
                <w:rStyle w:val="Hyperlink"/>
                <w:noProof/>
              </w:rPr>
              <w:t>Staff</w:t>
            </w:r>
            <w:r w:rsidR="00741687">
              <w:rPr>
                <w:noProof/>
                <w:webHidden/>
              </w:rPr>
              <w:tab/>
            </w:r>
            <w:r w:rsidR="00741687">
              <w:rPr>
                <w:noProof/>
                <w:webHidden/>
              </w:rPr>
              <w:fldChar w:fldCharType="begin"/>
            </w:r>
            <w:r w:rsidR="00741687">
              <w:rPr>
                <w:noProof/>
                <w:webHidden/>
              </w:rPr>
              <w:instrText xml:space="preserve"> PAGEREF _Toc136889953 \h </w:instrText>
            </w:r>
            <w:r w:rsidR="00741687">
              <w:rPr>
                <w:noProof/>
                <w:webHidden/>
              </w:rPr>
            </w:r>
            <w:r w:rsidR="00741687">
              <w:rPr>
                <w:noProof/>
                <w:webHidden/>
              </w:rPr>
              <w:fldChar w:fldCharType="separate"/>
            </w:r>
            <w:r w:rsidR="00741687">
              <w:rPr>
                <w:noProof/>
                <w:webHidden/>
              </w:rPr>
              <w:t>7</w:t>
            </w:r>
            <w:r w:rsidR="00741687">
              <w:rPr>
                <w:noProof/>
                <w:webHidden/>
              </w:rPr>
              <w:fldChar w:fldCharType="end"/>
            </w:r>
          </w:hyperlink>
        </w:p>
        <w:p w14:paraId="04B57F8F" w14:textId="774C4598" w:rsidR="00741687" w:rsidRDefault="00C63795">
          <w:pPr>
            <w:pStyle w:val="TOC3"/>
            <w:tabs>
              <w:tab w:val="right" w:leader="dot" w:pos="9566"/>
            </w:tabs>
            <w:rPr>
              <w:noProof/>
              <w:kern w:val="2"/>
              <w:sz w:val="22"/>
              <w:lang w:eastAsia="en-US"/>
              <w14:ligatures w14:val="standardContextual"/>
            </w:rPr>
          </w:pPr>
          <w:hyperlink w:anchor="_Toc136889954" w:history="1">
            <w:r w:rsidR="00741687" w:rsidRPr="001E2D6D">
              <w:rPr>
                <w:rStyle w:val="Hyperlink"/>
                <w:noProof/>
              </w:rPr>
              <w:t>Supples</w:t>
            </w:r>
            <w:r w:rsidR="00741687">
              <w:rPr>
                <w:noProof/>
                <w:webHidden/>
              </w:rPr>
              <w:tab/>
            </w:r>
            <w:r w:rsidR="00741687">
              <w:rPr>
                <w:noProof/>
                <w:webHidden/>
              </w:rPr>
              <w:fldChar w:fldCharType="begin"/>
            </w:r>
            <w:r w:rsidR="00741687">
              <w:rPr>
                <w:noProof/>
                <w:webHidden/>
              </w:rPr>
              <w:instrText xml:space="preserve"> PAGEREF _Toc136889954 \h </w:instrText>
            </w:r>
            <w:r w:rsidR="00741687">
              <w:rPr>
                <w:noProof/>
                <w:webHidden/>
              </w:rPr>
            </w:r>
            <w:r w:rsidR="00741687">
              <w:rPr>
                <w:noProof/>
                <w:webHidden/>
              </w:rPr>
              <w:fldChar w:fldCharType="separate"/>
            </w:r>
            <w:r w:rsidR="00741687">
              <w:rPr>
                <w:noProof/>
                <w:webHidden/>
              </w:rPr>
              <w:t>7</w:t>
            </w:r>
            <w:r w:rsidR="00741687">
              <w:rPr>
                <w:noProof/>
                <w:webHidden/>
              </w:rPr>
              <w:fldChar w:fldCharType="end"/>
            </w:r>
          </w:hyperlink>
        </w:p>
        <w:p w14:paraId="41EB561C" w14:textId="71AA0DE3" w:rsidR="00741687" w:rsidRDefault="00C63795">
          <w:pPr>
            <w:pStyle w:val="TOC2"/>
            <w:tabs>
              <w:tab w:val="right" w:leader="dot" w:pos="9566"/>
            </w:tabs>
            <w:rPr>
              <w:noProof/>
              <w:kern w:val="2"/>
              <w:sz w:val="22"/>
              <w:lang w:eastAsia="en-US"/>
              <w14:ligatures w14:val="standardContextual"/>
            </w:rPr>
          </w:pPr>
          <w:hyperlink w:anchor="_Toc136889955" w:history="1">
            <w:r w:rsidR="00741687" w:rsidRPr="001E2D6D">
              <w:rPr>
                <w:rStyle w:val="Hyperlink"/>
                <w:noProof/>
              </w:rPr>
              <w:t>Special Considerations</w:t>
            </w:r>
            <w:r w:rsidR="00741687">
              <w:rPr>
                <w:noProof/>
                <w:webHidden/>
              </w:rPr>
              <w:tab/>
            </w:r>
            <w:r w:rsidR="00741687">
              <w:rPr>
                <w:noProof/>
                <w:webHidden/>
              </w:rPr>
              <w:fldChar w:fldCharType="begin"/>
            </w:r>
            <w:r w:rsidR="00741687">
              <w:rPr>
                <w:noProof/>
                <w:webHidden/>
              </w:rPr>
              <w:instrText xml:space="preserve"> PAGEREF _Toc136889955 \h </w:instrText>
            </w:r>
            <w:r w:rsidR="00741687">
              <w:rPr>
                <w:noProof/>
                <w:webHidden/>
              </w:rPr>
            </w:r>
            <w:r w:rsidR="00741687">
              <w:rPr>
                <w:noProof/>
                <w:webHidden/>
              </w:rPr>
              <w:fldChar w:fldCharType="separate"/>
            </w:r>
            <w:r w:rsidR="00741687">
              <w:rPr>
                <w:noProof/>
                <w:webHidden/>
              </w:rPr>
              <w:t>7</w:t>
            </w:r>
            <w:r w:rsidR="00741687">
              <w:rPr>
                <w:noProof/>
                <w:webHidden/>
              </w:rPr>
              <w:fldChar w:fldCharType="end"/>
            </w:r>
          </w:hyperlink>
        </w:p>
        <w:p w14:paraId="7C533CBF" w14:textId="749C0468" w:rsidR="00741687" w:rsidRDefault="00C63795">
          <w:pPr>
            <w:pStyle w:val="TOC3"/>
            <w:tabs>
              <w:tab w:val="right" w:leader="dot" w:pos="9566"/>
            </w:tabs>
            <w:rPr>
              <w:noProof/>
              <w:kern w:val="2"/>
              <w:sz w:val="22"/>
              <w:lang w:eastAsia="en-US"/>
              <w14:ligatures w14:val="standardContextual"/>
            </w:rPr>
          </w:pPr>
          <w:hyperlink w:anchor="_Toc136889956" w:history="1">
            <w:r w:rsidR="00741687" w:rsidRPr="001E2D6D">
              <w:rPr>
                <w:rStyle w:val="Hyperlink"/>
                <w:noProof/>
              </w:rPr>
              <w:t>Behavioral Health</w:t>
            </w:r>
            <w:r w:rsidR="00741687">
              <w:rPr>
                <w:noProof/>
                <w:webHidden/>
              </w:rPr>
              <w:tab/>
            </w:r>
            <w:r w:rsidR="00741687">
              <w:rPr>
                <w:noProof/>
                <w:webHidden/>
              </w:rPr>
              <w:fldChar w:fldCharType="begin"/>
            </w:r>
            <w:r w:rsidR="00741687">
              <w:rPr>
                <w:noProof/>
                <w:webHidden/>
              </w:rPr>
              <w:instrText xml:space="preserve"> PAGEREF _Toc136889956 \h </w:instrText>
            </w:r>
            <w:r w:rsidR="00741687">
              <w:rPr>
                <w:noProof/>
                <w:webHidden/>
              </w:rPr>
            </w:r>
            <w:r w:rsidR="00741687">
              <w:rPr>
                <w:noProof/>
                <w:webHidden/>
              </w:rPr>
              <w:fldChar w:fldCharType="separate"/>
            </w:r>
            <w:r w:rsidR="00741687">
              <w:rPr>
                <w:noProof/>
                <w:webHidden/>
              </w:rPr>
              <w:t>7</w:t>
            </w:r>
            <w:r w:rsidR="00741687">
              <w:rPr>
                <w:noProof/>
                <w:webHidden/>
              </w:rPr>
              <w:fldChar w:fldCharType="end"/>
            </w:r>
          </w:hyperlink>
        </w:p>
        <w:p w14:paraId="204E5DA8" w14:textId="5FFF5D99" w:rsidR="00741687" w:rsidRDefault="00C63795">
          <w:pPr>
            <w:pStyle w:val="TOC3"/>
            <w:tabs>
              <w:tab w:val="right" w:leader="dot" w:pos="9566"/>
            </w:tabs>
            <w:rPr>
              <w:noProof/>
              <w:kern w:val="2"/>
              <w:sz w:val="22"/>
              <w:lang w:eastAsia="en-US"/>
              <w14:ligatures w14:val="standardContextual"/>
            </w:rPr>
          </w:pPr>
          <w:hyperlink w:anchor="_Toc136889957" w:history="1">
            <w:r w:rsidR="00741687" w:rsidRPr="001E2D6D">
              <w:rPr>
                <w:rStyle w:val="Hyperlink"/>
                <w:noProof/>
              </w:rPr>
              <w:t>Pediatric burn patients</w:t>
            </w:r>
            <w:r w:rsidR="00741687">
              <w:rPr>
                <w:noProof/>
                <w:webHidden/>
              </w:rPr>
              <w:tab/>
            </w:r>
            <w:r w:rsidR="00741687">
              <w:rPr>
                <w:noProof/>
                <w:webHidden/>
              </w:rPr>
              <w:fldChar w:fldCharType="begin"/>
            </w:r>
            <w:r w:rsidR="00741687">
              <w:rPr>
                <w:noProof/>
                <w:webHidden/>
              </w:rPr>
              <w:instrText xml:space="preserve"> PAGEREF _Toc136889957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796BA9A7" w14:textId="703BA6A5" w:rsidR="00741687" w:rsidRDefault="00C63795">
          <w:pPr>
            <w:pStyle w:val="TOC3"/>
            <w:tabs>
              <w:tab w:val="right" w:leader="dot" w:pos="9566"/>
            </w:tabs>
            <w:rPr>
              <w:noProof/>
              <w:kern w:val="2"/>
              <w:sz w:val="22"/>
              <w:lang w:eastAsia="en-US"/>
              <w14:ligatures w14:val="standardContextual"/>
            </w:rPr>
          </w:pPr>
          <w:hyperlink w:anchor="_Toc136889958" w:history="1">
            <w:r w:rsidR="00741687" w:rsidRPr="001E2D6D">
              <w:rPr>
                <w:rStyle w:val="Hyperlink"/>
                <w:noProof/>
              </w:rPr>
              <w:t>Combined Injury</w:t>
            </w:r>
            <w:r w:rsidR="00741687">
              <w:rPr>
                <w:noProof/>
                <w:webHidden/>
              </w:rPr>
              <w:tab/>
            </w:r>
            <w:r w:rsidR="00741687">
              <w:rPr>
                <w:noProof/>
                <w:webHidden/>
              </w:rPr>
              <w:fldChar w:fldCharType="begin"/>
            </w:r>
            <w:r w:rsidR="00741687">
              <w:rPr>
                <w:noProof/>
                <w:webHidden/>
              </w:rPr>
              <w:instrText xml:space="preserve"> PAGEREF _Toc136889958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325871A4" w14:textId="1D5E3274" w:rsidR="00741687" w:rsidRDefault="00C63795">
          <w:pPr>
            <w:pStyle w:val="TOC2"/>
            <w:tabs>
              <w:tab w:val="right" w:leader="dot" w:pos="9566"/>
            </w:tabs>
            <w:rPr>
              <w:noProof/>
              <w:kern w:val="2"/>
              <w:sz w:val="22"/>
              <w:lang w:eastAsia="en-US"/>
              <w14:ligatures w14:val="standardContextual"/>
            </w:rPr>
          </w:pPr>
          <w:hyperlink w:anchor="_Toc136889959" w:history="1">
            <w:r w:rsidR="00741687" w:rsidRPr="001E2D6D">
              <w:rPr>
                <w:rStyle w:val="Hyperlink"/>
                <w:noProof/>
              </w:rPr>
              <w:t>Operations</w:t>
            </w:r>
            <w:r w:rsidR="00741687">
              <w:rPr>
                <w:noProof/>
                <w:webHidden/>
              </w:rPr>
              <w:tab/>
            </w:r>
            <w:r w:rsidR="00741687">
              <w:rPr>
                <w:noProof/>
                <w:webHidden/>
              </w:rPr>
              <w:fldChar w:fldCharType="begin"/>
            </w:r>
            <w:r w:rsidR="00741687">
              <w:rPr>
                <w:noProof/>
                <w:webHidden/>
              </w:rPr>
              <w:instrText xml:space="preserve"> PAGEREF _Toc136889959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060C71BB" w14:textId="72A897E7" w:rsidR="00741687" w:rsidRDefault="00C63795">
          <w:pPr>
            <w:pStyle w:val="TOC3"/>
            <w:tabs>
              <w:tab w:val="right" w:leader="dot" w:pos="9566"/>
            </w:tabs>
            <w:rPr>
              <w:noProof/>
              <w:kern w:val="2"/>
              <w:sz w:val="22"/>
              <w:lang w:eastAsia="en-US"/>
              <w14:ligatures w14:val="standardContextual"/>
            </w:rPr>
          </w:pPr>
          <w:hyperlink w:anchor="_Toc136889960" w:history="1">
            <w:r w:rsidR="00741687" w:rsidRPr="001E2D6D">
              <w:rPr>
                <w:rStyle w:val="Hyperlink"/>
                <w:noProof/>
              </w:rPr>
              <w:t>Triage</w:t>
            </w:r>
            <w:r w:rsidR="00741687">
              <w:rPr>
                <w:noProof/>
                <w:webHidden/>
              </w:rPr>
              <w:tab/>
            </w:r>
            <w:r w:rsidR="00741687">
              <w:rPr>
                <w:noProof/>
                <w:webHidden/>
              </w:rPr>
              <w:fldChar w:fldCharType="begin"/>
            </w:r>
            <w:r w:rsidR="00741687">
              <w:rPr>
                <w:noProof/>
                <w:webHidden/>
              </w:rPr>
              <w:instrText xml:space="preserve"> PAGEREF _Toc136889960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2673BB8C" w14:textId="0F64D5C1" w:rsidR="00741687" w:rsidRDefault="00C63795">
          <w:pPr>
            <w:pStyle w:val="TOC3"/>
            <w:tabs>
              <w:tab w:val="right" w:leader="dot" w:pos="9566"/>
            </w:tabs>
            <w:rPr>
              <w:noProof/>
              <w:kern w:val="2"/>
              <w:sz w:val="22"/>
              <w:lang w:eastAsia="en-US"/>
              <w14:ligatures w14:val="standardContextual"/>
            </w:rPr>
          </w:pPr>
          <w:hyperlink w:anchor="_Toc136889961" w:history="1">
            <w:r w:rsidR="00741687" w:rsidRPr="001E2D6D">
              <w:rPr>
                <w:rStyle w:val="Hyperlink"/>
                <w:noProof/>
              </w:rPr>
              <w:t>Treatment</w:t>
            </w:r>
            <w:r w:rsidR="00741687">
              <w:rPr>
                <w:noProof/>
                <w:webHidden/>
              </w:rPr>
              <w:tab/>
            </w:r>
            <w:r w:rsidR="00741687">
              <w:rPr>
                <w:noProof/>
                <w:webHidden/>
              </w:rPr>
              <w:fldChar w:fldCharType="begin"/>
            </w:r>
            <w:r w:rsidR="00741687">
              <w:rPr>
                <w:noProof/>
                <w:webHidden/>
              </w:rPr>
              <w:instrText xml:space="preserve"> PAGEREF _Toc136889961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40EEAE92" w14:textId="226F696A" w:rsidR="00741687" w:rsidRDefault="00C63795">
          <w:pPr>
            <w:pStyle w:val="TOC2"/>
            <w:tabs>
              <w:tab w:val="right" w:leader="dot" w:pos="9566"/>
            </w:tabs>
            <w:rPr>
              <w:noProof/>
              <w:kern w:val="2"/>
              <w:sz w:val="22"/>
              <w:lang w:eastAsia="en-US"/>
              <w14:ligatures w14:val="standardContextual"/>
            </w:rPr>
          </w:pPr>
          <w:hyperlink w:anchor="_Toc136889962" w:history="1">
            <w:r w:rsidR="00741687" w:rsidRPr="001E2D6D">
              <w:rPr>
                <w:rStyle w:val="Hyperlink"/>
                <w:noProof/>
              </w:rPr>
              <w:t>Transportation</w:t>
            </w:r>
            <w:r w:rsidR="00741687">
              <w:rPr>
                <w:noProof/>
                <w:webHidden/>
              </w:rPr>
              <w:tab/>
            </w:r>
            <w:r w:rsidR="00741687">
              <w:rPr>
                <w:noProof/>
                <w:webHidden/>
              </w:rPr>
              <w:fldChar w:fldCharType="begin"/>
            </w:r>
            <w:r w:rsidR="00741687">
              <w:rPr>
                <w:noProof/>
                <w:webHidden/>
              </w:rPr>
              <w:instrText xml:space="preserve"> PAGEREF _Toc136889962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1FABE02C" w14:textId="6345528A" w:rsidR="00741687" w:rsidRDefault="00C63795">
          <w:pPr>
            <w:pStyle w:val="TOC2"/>
            <w:tabs>
              <w:tab w:val="right" w:leader="dot" w:pos="9566"/>
            </w:tabs>
            <w:rPr>
              <w:noProof/>
              <w:kern w:val="2"/>
              <w:sz w:val="22"/>
              <w:lang w:eastAsia="en-US"/>
              <w14:ligatures w14:val="standardContextual"/>
            </w:rPr>
          </w:pPr>
          <w:hyperlink w:anchor="_Toc136889963" w:history="1">
            <w:r w:rsidR="00741687" w:rsidRPr="001E2D6D">
              <w:rPr>
                <w:rStyle w:val="Hyperlink"/>
                <w:noProof/>
              </w:rPr>
              <w:t>Patient Tracking</w:t>
            </w:r>
            <w:r w:rsidR="00741687">
              <w:rPr>
                <w:noProof/>
                <w:webHidden/>
              </w:rPr>
              <w:tab/>
            </w:r>
            <w:r w:rsidR="00741687">
              <w:rPr>
                <w:noProof/>
                <w:webHidden/>
              </w:rPr>
              <w:fldChar w:fldCharType="begin"/>
            </w:r>
            <w:r w:rsidR="00741687">
              <w:rPr>
                <w:noProof/>
                <w:webHidden/>
              </w:rPr>
              <w:instrText xml:space="preserve"> PAGEREF _Toc136889963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1FC3B641" w14:textId="6DA9A27B" w:rsidR="00741687" w:rsidRDefault="00C63795">
          <w:pPr>
            <w:pStyle w:val="TOC2"/>
            <w:tabs>
              <w:tab w:val="right" w:leader="dot" w:pos="9566"/>
            </w:tabs>
            <w:rPr>
              <w:noProof/>
              <w:kern w:val="2"/>
              <w:sz w:val="22"/>
              <w:lang w:eastAsia="en-US"/>
              <w14:ligatures w14:val="standardContextual"/>
            </w:rPr>
          </w:pPr>
          <w:hyperlink w:anchor="_Toc136889964" w:history="1">
            <w:r w:rsidR="00741687" w:rsidRPr="001E2D6D">
              <w:rPr>
                <w:rStyle w:val="Hyperlink"/>
                <w:noProof/>
              </w:rPr>
              <w:t>Rehabilitation and outpatient follow up</w:t>
            </w:r>
            <w:r w:rsidR="00741687">
              <w:rPr>
                <w:noProof/>
                <w:webHidden/>
              </w:rPr>
              <w:tab/>
            </w:r>
            <w:r w:rsidR="00741687">
              <w:rPr>
                <w:noProof/>
                <w:webHidden/>
              </w:rPr>
              <w:fldChar w:fldCharType="begin"/>
            </w:r>
            <w:r w:rsidR="00741687">
              <w:rPr>
                <w:noProof/>
                <w:webHidden/>
              </w:rPr>
              <w:instrText xml:space="preserve"> PAGEREF _Toc136889964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32338CEB" w14:textId="02A77C24" w:rsidR="00741687" w:rsidRDefault="00C63795">
          <w:pPr>
            <w:pStyle w:val="TOC1"/>
            <w:tabs>
              <w:tab w:val="right" w:leader="dot" w:pos="9566"/>
            </w:tabs>
            <w:rPr>
              <w:noProof/>
              <w:kern w:val="2"/>
              <w:sz w:val="22"/>
              <w:lang w:eastAsia="en-US"/>
              <w14:ligatures w14:val="standardContextual"/>
            </w:rPr>
          </w:pPr>
          <w:hyperlink w:anchor="_Toc136889965" w:history="1">
            <w:r w:rsidR="00741687" w:rsidRPr="001E2D6D">
              <w:rPr>
                <w:rStyle w:val="Hyperlink"/>
                <w:noProof/>
              </w:rPr>
              <w:t>Appendices/references</w:t>
            </w:r>
            <w:r w:rsidR="00741687">
              <w:rPr>
                <w:noProof/>
                <w:webHidden/>
              </w:rPr>
              <w:tab/>
            </w:r>
            <w:r w:rsidR="00741687">
              <w:rPr>
                <w:noProof/>
                <w:webHidden/>
              </w:rPr>
              <w:fldChar w:fldCharType="begin"/>
            </w:r>
            <w:r w:rsidR="00741687">
              <w:rPr>
                <w:noProof/>
                <w:webHidden/>
              </w:rPr>
              <w:instrText xml:space="preserve"> PAGEREF _Toc136889965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7EB1DAC6" w14:textId="2D1BF7EA" w:rsidR="00741687" w:rsidRDefault="00C63795">
          <w:pPr>
            <w:pStyle w:val="TOC2"/>
            <w:tabs>
              <w:tab w:val="right" w:leader="dot" w:pos="9566"/>
            </w:tabs>
            <w:rPr>
              <w:noProof/>
              <w:kern w:val="2"/>
              <w:sz w:val="22"/>
              <w:lang w:eastAsia="en-US"/>
              <w14:ligatures w14:val="standardContextual"/>
            </w:rPr>
          </w:pPr>
          <w:hyperlink w:anchor="_Toc136889966" w:history="1">
            <w:r w:rsidR="00741687" w:rsidRPr="001E2D6D">
              <w:rPr>
                <w:rStyle w:val="Hyperlink"/>
                <w:noProof/>
              </w:rPr>
              <w:t>Training and Exercise</w:t>
            </w:r>
            <w:r w:rsidR="00741687" w:rsidRPr="001E2D6D">
              <w:rPr>
                <w:rStyle w:val="Hyperlink"/>
                <w:noProof/>
                <w:spacing w:val="-13"/>
              </w:rPr>
              <w:t xml:space="preserve"> </w:t>
            </w:r>
            <w:r w:rsidR="00741687" w:rsidRPr="001E2D6D">
              <w:rPr>
                <w:rStyle w:val="Hyperlink"/>
                <w:noProof/>
              </w:rPr>
              <w:t>Recommendations</w:t>
            </w:r>
            <w:r w:rsidR="00741687">
              <w:rPr>
                <w:noProof/>
                <w:webHidden/>
              </w:rPr>
              <w:tab/>
            </w:r>
            <w:r w:rsidR="00741687">
              <w:rPr>
                <w:noProof/>
                <w:webHidden/>
              </w:rPr>
              <w:fldChar w:fldCharType="begin"/>
            </w:r>
            <w:r w:rsidR="00741687">
              <w:rPr>
                <w:noProof/>
                <w:webHidden/>
              </w:rPr>
              <w:instrText xml:space="preserve"> PAGEREF _Toc136889966 \h </w:instrText>
            </w:r>
            <w:r w:rsidR="00741687">
              <w:rPr>
                <w:noProof/>
                <w:webHidden/>
              </w:rPr>
            </w:r>
            <w:r w:rsidR="00741687">
              <w:rPr>
                <w:noProof/>
                <w:webHidden/>
              </w:rPr>
              <w:fldChar w:fldCharType="separate"/>
            </w:r>
            <w:r w:rsidR="00741687">
              <w:rPr>
                <w:noProof/>
                <w:webHidden/>
              </w:rPr>
              <w:t>8</w:t>
            </w:r>
            <w:r w:rsidR="00741687">
              <w:rPr>
                <w:noProof/>
                <w:webHidden/>
              </w:rPr>
              <w:fldChar w:fldCharType="end"/>
            </w:r>
          </w:hyperlink>
        </w:p>
        <w:p w14:paraId="0822E21B" w14:textId="262C3B9C" w:rsidR="00741687" w:rsidRDefault="00C63795">
          <w:pPr>
            <w:pStyle w:val="TOC2"/>
            <w:tabs>
              <w:tab w:val="right" w:leader="dot" w:pos="9566"/>
            </w:tabs>
            <w:rPr>
              <w:noProof/>
              <w:kern w:val="2"/>
              <w:sz w:val="22"/>
              <w:lang w:eastAsia="en-US"/>
              <w14:ligatures w14:val="standardContextual"/>
            </w:rPr>
          </w:pPr>
          <w:hyperlink w:anchor="_Toc136889967" w:history="1">
            <w:r w:rsidR="00741687" w:rsidRPr="001E2D6D">
              <w:rPr>
                <w:rStyle w:val="Hyperlink"/>
                <w:noProof/>
              </w:rPr>
              <w:t>References/Links</w:t>
            </w:r>
            <w:r w:rsidR="00741687">
              <w:rPr>
                <w:noProof/>
                <w:webHidden/>
              </w:rPr>
              <w:tab/>
            </w:r>
            <w:r w:rsidR="00741687">
              <w:rPr>
                <w:noProof/>
                <w:webHidden/>
              </w:rPr>
              <w:fldChar w:fldCharType="begin"/>
            </w:r>
            <w:r w:rsidR="00741687">
              <w:rPr>
                <w:noProof/>
                <w:webHidden/>
              </w:rPr>
              <w:instrText xml:space="preserve"> PAGEREF _Toc136889967 \h </w:instrText>
            </w:r>
            <w:r w:rsidR="00741687">
              <w:rPr>
                <w:noProof/>
                <w:webHidden/>
              </w:rPr>
            </w:r>
            <w:r w:rsidR="00741687">
              <w:rPr>
                <w:noProof/>
                <w:webHidden/>
              </w:rPr>
              <w:fldChar w:fldCharType="separate"/>
            </w:r>
            <w:r w:rsidR="00741687">
              <w:rPr>
                <w:noProof/>
                <w:webHidden/>
              </w:rPr>
              <w:t>9</w:t>
            </w:r>
            <w:r w:rsidR="00741687">
              <w:rPr>
                <w:noProof/>
                <w:webHidden/>
              </w:rPr>
              <w:fldChar w:fldCharType="end"/>
            </w:r>
          </w:hyperlink>
        </w:p>
        <w:p w14:paraId="3D48E92B" w14:textId="6FF55278" w:rsidR="00741687" w:rsidRDefault="00C63795">
          <w:pPr>
            <w:pStyle w:val="TOC2"/>
            <w:tabs>
              <w:tab w:val="right" w:leader="dot" w:pos="9566"/>
            </w:tabs>
            <w:rPr>
              <w:noProof/>
              <w:kern w:val="2"/>
              <w:sz w:val="22"/>
              <w:lang w:eastAsia="en-US"/>
              <w14:ligatures w14:val="standardContextual"/>
            </w:rPr>
          </w:pPr>
          <w:hyperlink w:anchor="_Toc136889968" w:history="1">
            <w:r w:rsidR="00741687" w:rsidRPr="001E2D6D">
              <w:rPr>
                <w:rStyle w:val="Hyperlink"/>
                <w:rFonts w:ascii="Calibri" w:eastAsia="Times New Roman" w:hAnsi="Calibri" w:cs="Times New Roman"/>
                <w:b/>
                <w:bCs/>
                <w:caps/>
                <w:noProof/>
                <w:spacing w:val="20"/>
              </w:rPr>
              <w:t>Approvals and Revisions</w:t>
            </w:r>
            <w:r w:rsidR="00741687">
              <w:rPr>
                <w:noProof/>
                <w:webHidden/>
              </w:rPr>
              <w:tab/>
            </w:r>
            <w:r w:rsidR="00741687">
              <w:rPr>
                <w:noProof/>
                <w:webHidden/>
              </w:rPr>
              <w:fldChar w:fldCharType="begin"/>
            </w:r>
            <w:r w:rsidR="00741687">
              <w:rPr>
                <w:noProof/>
                <w:webHidden/>
              </w:rPr>
              <w:instrText xml:space="preserve"> PAGEREF _Toc136889968 \h </w:instrText>
            </w:r>
            <w:r w:rsidR="00741687">
              <w:rPr>
                <w:noProof/>
                <w:webHidden/>
              </w:rPr>
            </w:r>
            <w:r w:rsidR="00741687">
              <w:rPr>
                <w:noProof/>
                <w:webHidden/>
              </w:rPr>
              <w:fldChar w:fldCharType="separate"/>
            </w:r>
            <w:r w:rsidR="00741687">
              <w:rPr>
                <w:noProof/>
                <w:webHidden/>
              </w:rPr>
              <w:t>9</w:t>
            </w:r>
            <w:r w:rsidR="00741687">
              <w:rPr>
                <w:noProof/>
                <w:webHidden/>
              </w:rPr>
              <w:fldChar w:fldCharType="end"/>
            </w:r>
          </w:hyperlink>
        </w:p>
        <w:p w14:paraId="0D92F60F" w14:textId="3125FBC7" w:rsidR="00E92CF7" w:rsidRDefault="00E92CF7">
          <w:r>
            <w:rPr>
              <w:b/>
              <w:bCs/>
              <w:noProof/>
            </w:rPr>
            <w:lastRenderedPageBreak/>
            <w:fldChar w:fldCharType="end"/>
          </w:r>
        </w:p>
      </w:sdtContent>
    </w:sdt>
    <w:p w14:paraId="6922829A" w14:textId="77777777" w:rsidR="00C527F9" w:rsidRDefault="00CB6975" w:rsidP="00CE0523">
      <w:pPr>
        <w:spacing w:line="360" w:lineRule="auto"/>
      </w:pPr>
      <w:r w:rsidRPr="00CB6975">
        <w:t xml:space="preserve"> </w:t>
      </w:r>
    </w:p>
    <w:p w14:paraId="52E4FFC2" w14:textId="4AF828D0" w:rsidR="00C527F9" w:rsidRDefault="00C527F9" w:rsidP="00133A04">
      <w:pPr>
        <w:pStyle w:val="Heading1"/>
        <w:spacing w:after="0" w:line="276" w:lineRule="auto"/>
      </w:pPr>
      <w:bookmarkStart w:id="0" w:name="_Toc136889939"/>
      <w:r>
        <w:t>Introduction</w:t>
      </w:r>
      <w:bookmarkEnd w:id="0"/>
    </w:p>
    <w:p w14:paraId="2D429EDC" w14:textId="77777777" w:rsidR="00277AE3" w:rsidRPr="00277AE3" w:rsidRDefault="00277AE3" w:rsidP="00277AE3"/>
    <w:p w14:paraId="0967352B" w14:textId="1F42EB52" w:rsidR="00F1702A" w:rsidRDefault="00F1702A" w:rsidP="00133A04">
      <w:pPr>
        <w:pStyle w:val="Heading2"/>
        <w:spacing w:after="0" w:line="276" w:lineRule="auto"/>
        <w:rPr>
          <w:rFonts w:eastAsia="Times New Roman"/>
        </w:rPr>
      </w:pPr>
      <w:bookmarkStart w:id="1" w:name="_Toc136889940"/>
      <w:r>
        <w:rPr>
          <w:rFonts w:eastAsia="Times New Roman"/>
        </w:rPr>
        <w:t>Purpose</w:t>
      </w:r>
      <w:bookmarkEnd w:id="1"/>
    </w:p>
    <w:p w14:paraId="7805F894" w14:textId="568AA1D6" w:rsidR="00CE0523" w:rsidRDefault="00CE0523" w:rsidP="00133A04">
      <w:pPr>
        <w:spacing w:after="0" w:line="276" w:lineRule="auto"/>
        <w:rPr>
          <w:rFonts w:eastAsia="Times New Roman"/>
        </w:rPr>
      </w:pPr>
      <w:r w:rsidRPr="007E5787">
        <w:rPr>
          <w:rFonts w:eastAsia="Times New Roman"/>
        </w:rPr>
        <w:t xml:space="preserve">In the event of a medical surge burn incident, the MN State Burn Surge Plan calls on each regional Healthcare </w:t>
      </w:r>
      <w:r w:rsidR="00F1702A">
        <w:rPr>
          <w:rFonts w:eastAsia="Times New Roman"/>
        </w:rPr>
        <w:t xml:space="preserve">facility </w:t>
      </w:r>
      <w:r w:rsidRPr="007E5787">
        <w:rPr>
          <w:rFonts w:eastAsia="Times New Roman"/>
        </w:rPr>
        <w:t>to initially treat and stabilize burn victims for up to 72 hours when transportation to MN Burn Centers is not feasible. This burn surge appendix provides a regional framework to support and supplement the MN Statewide Burn Surge plan. This appendix identifies the West Central healthcare preparedness coalition’s response to a medical surge event involving severe or life- threatening</w:t>
      </w:r>
      <w:r w:rsidRPr="007E5787">
        <w:rPr>
          <w:rFonts w:eastAsia="Times New Roman"/>
          <w:spacing w:val="-6"/>
        </w:rPr>
        <w:t xml:space="preserve"> </w:t>
      </w:r>
      <w:r w:rsidRPr="007E5787">
        <w:rPr>
          <w:rFonts w:eastAsia="Times New Roman"/>
        </w:rPr>
        <w:t>burns.</w:t>
      </w:r>
    </w:p>
    <w:p w14:paraId="1F6F6091" w14:textId="77777777" w:rsidR="00277AE3" w:rsidRDefault="00277AE3" w:rsidP="00133A04">
      <w:pPr>
        <w:spacing w:after="0" w:line="276" w:lineRule="auto"/>
        <w:rPr>
          <w:rFonts w:eastAsia="Times New Roman"/>
        </w:rPr>
      </w:pPr>
    </w:p>
    <w:p w14:paraId="72018004" w14:textId="2D40BD44" w:rsidR="00F1702A" w:rsidRDefault="00B011BF" w:rsidP="00133A04">
      <w:pPr>
        <w:pStyle w:val="Heading2"/>
        <w:spacing w:after="0" w:line="276" w:lineRule="auto"/>
        <w:rPr>
          <w:rFonts w:eastAsia="Times New Roman"/>
        </w:rPr>
      </w:pPr>
      <w:bookmarkStart w:id="2" w:name="_Toc136889941"/>
      <w:r>
        <w:rPr>
          <w:rFonts w:eastAsia="Times New Roman"/>
        </w:rPr>
        <w:t>S</w:t>
      </w:r>
      <w:r w:rsidR="00F1702A">
        <w:rPr>
          <w:rFonts w:eastAsia="Times New Roman"/>
        </w:rPr>
        <w:t>cope</w:t>
      </w:r>
      <w:bookmarkEnd w:id="2"/>
    </w:p>
    <w:p w14:paraId="25F62653" w14:textId="25F2CFB9" w:rsidR="00BD0DD5" w:rsidRDefault="00F1702A" w:rsidP="00133A04">
      <w:pPr>
        <w:spacing w:after="0" w:line="276" w:lineRule="auto"/>
      </w:pPr>
      <w:r>
        <w:t xml:space="preserve">The Regional Burn Surge plan is a complementary document to the Regional Response Plan.  The plan is not designed to supersede the authority of any of the regional partners.  Refer to the Regional Preparedness plan for a list of active coalition members. </w:t>
      </w:r>
    </w:p>
    <w:p w14:paraId="6F17B748" w14:textId="77777777" w:rsidR="00277AE3" w:rsidRDefault="00277AE3" w:rsidP="00133A04">
      <w:pPr>
        <w:spacing w:after="0" w:line="276" w:lineRule="auto"/>
      </w:pPr>
    </w:p>
    <w:p w14:paraId="44C89951" w14:textId="6C01135D" w:rsidR="00F1702A" w:rsidRDefault="00B011BF" w:rsidP="00133A04">
      <w:pPr>
        <w:pStyle w:val="Heading2"/>
        <w:spacing w:after="0" w:line="276" w:lineRule="auto"/>
      </w:pPr>
      <w:bookmarkStart w:id="3" w:name="_Toc136889942"/>
      <w:r>
        <w:t>Ov</w:t>
      </w:r>
      <w:r w:rsidR="00BD0DD5">
        <w:t xml:space="preserve">erview/background of </w:t>
      </w:r>
      <w:r>
        <w:t xml:space="preserve">HCC </w:t>
      </w:r>
      <w:r w:rsidR="00BD0DD5">
        <w:t>and situation</w:t>
      </w:r>
      <w:bookmarkEnd w:id="3"/>
    </w:p>
    <w:p w14:paraId="67FB28C0" w14:textId="3B7214B0" w:rsidR="00BD0DD5" w:rsidRDefault="00BD0DD5" w:rsidP="00133A04">
      <w:pPr>
        <w:spacing w:after="0" w:line="276" w:lineRule="auto"/>
      </w:pPr>
      <w:r w:rsidRPr="007E5787">
        <w:t>The State of Minnesota currently has two Burn Centers acknowledged by the American Burn Association</w:t>
      </w:r>
      <w:r w:rsidR="00BE35F7">
        <w:t xml:space="preserve"> (ABA)</w:t>
      </w:r>
      <w:r w:rsidRPr="007E5787">
        <w:t xml:space="preserve">, which are Hennepin County Medical Center </w:t>
      </w:r>
      <w:r w:rsidR="00047740">
        <w:t xml:space="preserve">(HCMC) </w:t>
      </w:r>
      <w:r w:rsidRPr="007E5787">
        <w:t xml:space="preserve">and Regions Hospital. </w:t>
      </w:r>
      <w:r w:rsidR="00EF0245">
        <w:t xml:space="preserve">Neither of these two facilities are in the West Central region. </w:t>
      </w:r>
      <w:r w:rsidRPr="007E5787">
        <w:t xml:space="preserve">During a burn surge incident, the initial receiving facility will collaborate and communicate with the burn centers. If, at some point, the MN Burn Centers are unable to accept the number of patients referred to them, the statewide Burn Surge plan will be activated. Normal day to day operations </w:t>
      </w:r>
      <w:r w:rsidR="00AD4EE4" w:rsidRPr="007E5787">
        <w:t>is</w:t>
      </w:r>
      <w:r w:rsidRPr="007E5787">
        <w:t xml:space="preserve"> the goal of this plan, this plan will only be activated when local resources are exhausted, and the MN Burn Centers are unable to provide immediate care for burn</w:t>
      </w:r>
      <w:r w:rsidRPr="007E5787">
        <w:rPr>
          <w:spacing w:val="-6"/>
        </w:rPr>
        <w:t xml:space="preserve"> </w:t>
      </w:r>
      <w:r w:rsidRPr="007E5787">
        <w:t>patients.</w:t>
      </w:r>
    </w:p>
    <w:p w14:paraId="2CF006F6" w14:textId="1C2F7D4E" w:rsidR="009859EE" w:rsidRDefault="00133567" w:rsidP="00133A04">
      <w:pPr>
        <w:spacing w:after="0" w:line="276" w:lineRule="auto"/>
        <w:rPr>
          <w:rFonts w:cstheme="minorHAnsi"/>
          <w:color w:val="212529"/>
          <w:sz w:val="23"/>
          <w:szCs w:val="23"/>
          <w:shd w:val="clear" w:color="auto" w:fill="FFFFFF"/>
        </w:rPr>
      </w:pPr>
      <w:r>
        <w:t>The West Central region is based around the I-</w:t>
      </w:r>
      <w:r w:rsidRPr="00133567">
        <w:rPr>
          <w:rFonts w:cstheme="minorHAnsi"/>
        </w:rPr>
        <w:t>94 highway system and has several rail lines that run both north/south and east/west.  Even though r</w:t>
      </w:r>
      <w:r w:rsidRPr="00133567">
        <w:rPr>
          <w:rFonts w:cstheme="minorHAnsi"/>
          <w:color w:val="212529"/>
          <w:sz w:val="23"/>
          <w:szCs w:val="23"/>
          <w:shd w:val="clear" w:color="auto" w:fill="FFFFFF"/>
        </w:rPr>
        <w:t>ail transportation of hazardous materials in the is recognized to be the safest method of moving large quantities of chemicals over long distances</w:t>
      </w:r>
      <w:r>
        <w:rPr>
          <w:rFonts w:cstheme="minorHAnsi"/>
          <w:color w:val="212529"/>
          <w:sz w:val="23"/>
          <w:szCs w:val="23"/>
          <w:shd w:val="clear" w:color="auto" w:fill="FFFFFF"/>
        </w:rPr>
        <w:t xml:space="preserve"> there is still the risk of derailment or accidental release of the hazardous materials</w:t>
      </w:r>
      <w:r w:rsidR="00BE35F7">
        <w:rPr>
          <w:rFonts w:cstheme="minorHAnsi"/>
          <w:color w:val="212529"/>
          <w:sz w:val="23"/>
          <w:szCs w:val="23"/>
          <w:shd w:val="clear" w:color="auto" w:fill="FFFFFF"/>
        </w:rPr>
        <w:t xml:space="preserve"> that could result in a burn incident</w:t>
      </w:r>
      <w:r>
        <w:rPr>
          <w:rFonts w:cstheme="minorHAnsi"/>
          <w:color w:val="212529"/>
          <w:sz w:val="23"/>
          <w:szCs w:val="23"/>
          <w:shd w:val="clear" w:color="auto" w:fill="FFFFFF"/>
        </w:rPr>
        <w:t xml:space="preserve">.  The I-94 interstate highway is a major thorough fare through the upper United States and </w:t>
      </w:r>
      <w:r w:rsidR="009859EE">
        <w:rPr>
          <w:rFonts w:cstheme="minorHAnsi"/>
          <w:color w:val="212529"/>
          <w:sz w:val="23"/>
          <w:szCs w:val="23"/>
          <w:shd w:val="clear" w:color="auto" w:fill="FFFFFF"/>
        </w:rPr>
        <w:t xml:space="preserve">utilized by heavy goods vehicles carry a variety of hazardous materials.  The transportation of hazardous materials through the region are not the only risks of mass burn potential.  The region also has increased risk of fire from wildfire, pipeline disruption and industrial business compromise. </w:t>
      </w:r>
    </w:p>
    <w:p w14:paraId="358F8801" w14:textId="7A2B8A3A" w:rsidR="00133567" w:rsidRPr="007E5787" w:rsidRDefault="009859EE" w:rsidP="00133A04">
      <w:pPr>
        <w:spacing w:after="0" w:line="276" w:lineRule="auto"/>
        <w:rPr>
          <w:rFonts w:eastAsia="Times New Roman"/>
        </w:rPr>
      </w:pPr>
      <w:r>
        <w:rPr>
          <w:rFonts w:cstheme="minorHAnsi"/>
          <w:color w:val="212529"/>
          <w:sz w:val="23"/>
          <w:szCs w:val="23"/>
          <w:shd w:val="clear" w:color="auto" w:fill="FFFFFF"/>
        </w:rPr>
        <w:lastRenderedPageBreak/>
        <w:t>As rural communities a single burn patient may be needed to be transferred several hours to a burn facility.  When those systems are overwhelmed the local facilities and burn surge facilities may need to be activated.</w:t>
      </w:r>
      <w:r w:rsidR="00133567">
        <w:t xml:space="preserve"> </w:t>
      </w:r>
    </w:p>
    <w:p w14:paraId="339B203F" w14:textId="78D6F1D4" w:rsidR="009859EE" w:rsidRPr="007E5787" w:rsidRDefault="009859EE" w:rsidP="00133A04">
      <w:pPr>
        <w:spacing w:after="0" w:line="276" w:lineRule="auto"/>
        <w:rPr>
          <w:rFonts w:eastAsia="Times New Roman"/>
        </w:rPr>
      </w:pPr>
      <w:r w:rsidRPr="007E5787">
        <w:t xml:space="preserve">The West Central healthcare preparedness coalition has identified three burn surge </w:t>
      </w:r>
      <w:r w:rsidR="00BE35F7">
        <w:t>facilities (BSFs)</w:t>
      </w:r>
      <w:r w:rsidR="00BE35F7" w:rsidRPr="007E5787">
        <w:t xml:space="preserve"> </w:t>
      </w:r>
      <w:r w:rsidRPr="007E5787">
        <w:t xml:space="preserve">to be utilized in a surge event. In coordination with the </w:t>
      </w:r>
      <w:r w:rsidR="00BE35F7">
        <w:t>ABA</w:t>
      </w:r>
      <w:r w:rsidR="00BE35F7" w:rsidRPr="007E5787">
        <w:t xml:space="preserve"> </w:t>
      </w:r>
      <w:r w:rsidRPr="007E5787">
        <w:t xml:space="preserve">Burn Center, patients may be transferred from the initial receiving hospital to the </w:t>
      </w:r>
      <w:r w:rsidR="00BE35F7">
        <w:t>BSF</w:t>
      </w:r>
      <w:r w:rsidRPr="007E5787">
        <w:t xml:space="preserve"> who will provide treatment until more definitive care options are available. The </w:t>
      </w:r>
      <w:r w:rsidR="00BE35F7">
        <w:t>BSFs</w:t>
      </w:r>
      <w:r w:rsidRPr="007E5787">
        <w:t xml:space="preserve"> will be responsible to care for the burn patients in the event of a statewide surge. This responsibility can last up to 72 hours. The </w:t>
      </w:r>
      <w:r w:rsidR="00BE35F7">
        <w:t>ABA</w:t>
      </w:r>
      <w:r w:rsidR="00BE35F7" w:rsidRPr="007E5787">
        <w:t xml:space="preserve"> </w:t>
      </w:r>
      <w:r w:rsidRPr="007E5787">
        <w:t>Burn Center will work with state partners to coordinate care and transportation of burn patients according to the MN State Burn Surge</w:t>
      </w:r>
      <w:r w:rsidRPr="007E5787">
        <w:rPr>
          <w:spacing w:val="-5"/>
        </w:rPr>
        <w:t xml:space="preserve"> </w:t>
      </w:r>
      <w:r w:rsidRPr="007E5787">
        <w:t>plan.</w:t>
      </w:r>
    </w:p>
    <w:p w14:paraId="6130D0A6" w14:textId="384E4C6F" w:rsidR="009859EE" w:rsidRPr="007E5787" w:rsidRDefault="009859EE" w:rsidP="00133A04">
      <w:pPr>
        <w:spacing w:after="0" w:line="276" w:lineRule="auto"/>
        <w:rPr>
          <w:rFonts w:eastAsia="Times New Roman"/>
        </w:rPr>
      </w:pPr>
      <w:r w:rsidRPr="007E5787">
        <w:t>The three burn surge hospitals for West Central Minnesota</w:t>
      </w:r>
      <w:r w:rsidRPr="007E5787">
        <w:rPr>
          <w:spacing w:val="-19"/>
        </w:rPr>
        <w:t xml:space="preserve"> </w:t>
      </w:r>
      <w:r w:rsidRPr="007E5787">
        <w:t>are:</w:t>
      </w:r>
      <w:r w:rsidR="00396480">
        <w:br/>
      </w:r>
    </w:p>
    <w:p w14:paraId="28C16040" w14:textId="77777777" w:rsidR="009859EE" w:rsidRPr="008827BA" w:rsidRDefault="009859EE" w:rsidP="00133A04">
      <w:pPr>
        <w:spacing w:after="0" w:line="276" w:lineRule="auto"/>
        <w:ind w:left="720"/>
        <w:rPr>
          <w:b/>
        </w:rPr>
      </w:pPr>
      <w:r w:rsidRPr="008827BA">
        <w:rPr>
          <w:b/>
        </w:rPr>
        <w:t>St. Cloud Hospital</w:t>
      </w:r>
    </w:p>
    <w:p w14:paraId="1D9638F7" w14:textId="6B594B62" w:rsidR="009859EE" w:rsidRPr="007E5787" w:rsidRDefault="009859EE" w:rsidP="00133A04">
      <w:pPr>
        <w:spacing w:after="0" w:line="276" w:lineRule="auto"/>
        <w:ind w:left="720"/>
        <w:rPr>
          <w:rFonts w:eastAsia="Times New Roman"/>
        </w:rPr>
      </w:pPr>
      <w:r w:rsidRPr="007E5787">
        <w:t>1406 6</w:t>
      </w:r>
      <w:r w:rsidRPr="007E5787">
        <w:rPr>
          <w:position w:val="9"/>
        </w:rPr>
        <w:t xml:space="preserve">th  </w:t>
      </w:r>
      <w:r w:rsidRPr="007E5787">
        <w:t>Ave</w:t>
      </w:r>
      <w:r w:rsidR="00396480">
        <w:t>nue</w:t>
      </w:r>
      <w:r w:rsidRPr="007E5787">
        <w:rPr>
          <w:spacing w:val="-23"/>
        </w:rPr>
        <w:t xml:space="preserve"> </w:t>
      </w:r>
      <w:r w:rsidRPr="007E5787">
        <w:t>N</w:t>
      </w:r>
      <w:r w:rsidR="00396480">
        <w:t>orth</w:t>
      </w:r>
    </w:p>
    <w:p w14:paraId="27141AAC" w14:textId="77777777" w:rsidR="009859EE" w:rsidRDefault="009859EE" w:rsidP="00133A04">
      <w:pPr>
        <w:spacing w:after="0" w:line="276" w:lineRule="auto"/>
        <w:ind w:left="720"/>
      </w:pPr>
      <w:r w:rsidRPr="007E5787">
        <w:t xml:space="preserve">St. Cloud, MN 56303 </w:t>
      </w:r>
    </w:p>
    <w:p w14:paraId="49500223" w14:textId="77777777" w:rsidR="009859EE" w:rsidRDefault="009859EE" w:rsidP="00133A04">
      <w:pPr>
        <w:spacing w:after="0" w:line="276" w:lineRule="auto"/>
        <w:ind w:left="720"/>
      </w:pPr>
      <w:r w:rsidRPr="007E5787">
        <w:t>Transfer:</w:t>
      </w:r>
      <w:r w:rsidRPr="007E5787">
        <w:rPr>
          <w:spacing w:val="-8"/>
        </w:rPr>
        <w:t xml:space="preserve"> </w:t>
      </w:r>
      <w:r w:rsidRPr="007E5787">
        <w:t>888-387-2862</w:t>
      </w:r>
    </w:p>
    <w:p w14:paraId="1D6EE7C3" w14:textId="77777777" w:rsidR="009859EE" w:rsidRDefault="009859EE" w:rsidP="00133A04">
      <w:pPr>
        <w:spacing w:after="0" w:line="276" w:lineRule="auto"/>
        <w:ind w:left="720"/>
      </w:pPr>
    </w:p>
    <w:p w14:paraId="42BDDEA9" w14:textId="77777777" w:rsidR="009859EE" w:rsidRPr="008827BA" w:rsidRDefault="009859EE" w:rsidP="00133A04">
      <w:pPr>
        <w:spacing w:after="0" w:line="276" w:lineRule="auto"/>
        <w:ind w:left="720"/>
        <w:rPr>
          <w:b/>
        </w:rPr>
      </w:pPr>
      <w:r w:rsidRPr="008827BA">
        <w:rPr>
          <w:b/>
        </w:rPr>
        <w:t>Sanford Medical</w:t>
      </w:r>
      <w:r w:rsidRPr="008827BA">
        <w:rPr>
          <w:b/>
          <w:spacing w:val="-7"/>
        </w:rPr>
        <w:t xml:space="preserve"> </w:t>
      </w:r>
      <w:r w:rsidRPr="008827BA">
        <w:rPr>
          <w:b/>
        </w:rPr>
        <w:t xml:space="preserve">Center </w:t>
      </w:r>
    </w:p>
    <w:p w14:paraId="0913C36D" w14:textId="77777777" w:rsidR="009859EE" w:rsidRPr="007E5787" w:rsidRDefault="009859EE" w:rsidP="00133A04">
      <w:pPr>
        <w:spacing w:after="0" w:line="276" w:lineRule="auto"/>
        <w:ind w:left="720"/>
        <w:rPr>
          <w:rFonts w:eastAsia="Times New Roman"/>
        </w:rPr>
      </w:pPr>
      <w:r w:rsidRPr="007E5787">
        <w:t>801</w:t>
      </w:r>
      <w:r w:rsidRPr="007E5787">
        <w:rPr>
          <w:spacing w:val="-1"/>
        </w:rPr>
        <w:t xml:space="preserve"> </w:t>
      </w:r>
      <w:r w:rsidRPr="007E5787">
        <w:t>Broadway</w:t>
      </w:r>
    </w:p>
    <w:p w14:paraId="563CF1C1" w14:textId="77777777" w:rsidR="009859EE" w:rsidRPr="007E5787" w:rsidRDefault="009859EE" w:rsidP="00133A04">
      <w:pPr>
        <w:spacing w:after="0" w:line="276" w:lineRule="auto"/>
        <w:ind w:left="720"/>
        <w:rPr>
          <w:rFonts w:eastAsia="Times New Roman"/>
        </w:rPr>
      </w:pPr>
      <w:r w:rsidRPr="007E5787">
        <w:t>Fargo, ND</w:t>
      </w:r>
      <w:r w:rsidRPr="007E5787">
        <w:rPr>
          <w:spacing w:val="-6"/>
        </w:rPr>
        <w:t xml:space="preserve"> </w:t>
      </w:r>
      <w:r w:rsidRPr="007E5787">
        <w:t>58122</w:t>
      </w:r>
    </w:p>
    <w:p w14:paraId="7B136C0D" w14:textId="77777777" w:rsidR="009859EE" w:rsidRDefault="009859EE" w:rsidP="00133A04">
      <w:pPr>
        <w:spacing w:after="0" w:line="276" w:lineRule="auto"/>
        <w:ind w:left="720"/>
      </w:pPr>
      <w:r w:rsidRPr="007E5787">
        <w:t>701-234-2000</w:t>
      </w:r>
    </w:p>
    <w:p w14:paraId="332520FD" w14:textId="77777777" w:rsidR="009859EE" w:rsidRDefault="009859EE" w:rsidP="00133A04">
      <w:pPr>
        <w:spacing w:after="0" w:line="276" w:lineRule="auto"/>
        <w:ind w:left="720"/>
      </w:pPr>
    </w:p>
    <w:p w14:paraId="326F63E6" w14:textId="77777777" w:rsidR="009859EE" w:rsidRPr="008827BA" w:rsidRDefault="009859EE" w:rsidP="00133A04">
      <w:pPr>
        <w:spacing w:after="0" w:line="276" w:lineRule="auto"/>
        <w:ind w:left="720"/>
        <w:rPr>
          <w:b/>
        </w:rPr>
      </w:pPr>
      <w:r w:rsidRPr="008827BA">
        <w:rPr>
          <w:b/>
        </w:rPr>
        <w:t>Essentia Health</w:t>
      </w:r>
    </w:p>
    <w:p w14:paraId="76584E29" w14:textId="77777777" w:rsidR="009859EE" w:rsidRDefault="009859EE" w:rsidP="00133A04">
      <w:pPr>
        <w:spacing w:after="0" w:line="276" w:lineRule="auto"/>
        <w:ind w:left="720"/>
      </w:pPr>
      <w:r w:rsidRPr="007E5787">
        <w:t>3902 13</w:t>
      </w:r>
      <w:r w:rsidRPr="007E5787">
        <w:rPr>
          <w:position w:val="9"/>
        </w:rPr>
        <w:t xml:space="preserve">th </w:t>
      </w:r>
      <w:r w:rsidRPr="007E5787">
        <w:t xml:space="preserve">Ave S. </w:t>
      </w:r>
    </w:p>
    <w:p w14:paraId="34BB7268" w14:textId="77777777" w:rsidR="009859EE" w:rsidRPr="007E5787" w:rsidRDefault="009859EE" w:rsidP="00133A04">
      <w:pPr>
        <w:spacing w:after="0" w:line="276" w:lineRule="auto"/>
        <w:ind w:left="720"/>
        <w:rPr>
          <w:rFonts w:eastAsia="Times New Roman"/>
        </w:rPr>
      </w:pPr>
      <w:r w:rsidRPr="007E5787">
        <w:t>Fargo, ND</w:t>
      </w:r>
      <w:r w:rsidRPr="007E5787">
        <w:rPr>
          <w:spacing w:val="-6"/>
        </w:rPr>
        <w:t xml:space="preserve"> </w:t>
      </w:r>
      <w:r w:rsidRPr="007E5787">
        <w:t>58103</w:t>
      </w:r>
    </w:p>
    <w:p w14:paraId="1620CED5" w14:textId="3159427A" w:rsidR="009859EE" w:rsidRDefault="009859EE" w:rsidP="00133A04">
      <w:pPr>
        <w:spacing w:after="0" w:line="276" w:lineRule="auto"/>
        <w:ind w:left="720"/>
      </w:pPr>
      <w:r w:rsidRPr="007E5787">
        <w:t>701-364-6600</w:t>
      </w:r>
    </w:p>
    <w:p w14:paraId="485815F1" w14:textId="77777777" w:rsidR="00277AE3" w:rsidRPr="007E5787" w:rsidRDefault="00277AE3" w:rsidP="00133A04">
      <w:pPr>
        <w:spacing w:after="0" w:line="276" w:lineRule="auto"/>
        <w:ind w:left="720"/>
        <w:rPr>
          <w:rFonts w:eastAsia="Times New Roman"/>
        </w:rPr>
      </w:pPr>
    </w:p>
    <w:p w14:paraId="03AB8D0F" w14:textId="279F57F5" w:rsidR="009859EE" w:rsidRDefault="00B011BF" w:rsidP="00133A04">
      <w:pPr>
        <w:pStyle w:val="Heading2"/>
        <w:spacing w:before="0" w:after="0" w:line="276" w:lineRule="auto"/>
        <w:rPr>
          <w:rFonts w:eastAsia="Times New Roman"/>
        </w:rPr>
      </w:pPr>
      <w:bookmarkStart w:id="4" w:name="_Toc136889943"/>
      <w:r>
        <w:rPr>
          <w:rFonts w:eastAsia="Times New Roman"/>
        </w:rPr>
        <w:t>A</w:t>
      </w:r>
      <w:r w:rsidR="00E92CF7">
        <w:rPr>
          <w:rFonts w:eastAsia="Times New Roman"/>
        </w:rPr>
        <w:t>ssumptions</w:t>
      </w:r>
      <w:bookmarkEnd w:id="4"/>
    </w:p>
    <w:p w14:paraId="2CA79DFA" w14:textId="451F202A" w:rsidR="00E92CF7" w:rsidRPr="005E728D" w:rsidRDefault="00E92CF7" w:rsidP="00133A04">
      <w:pPr>
        <w:pStyle w:val="ListParagraph"/>
        <w:numPr>
          <w:ilvl w:val="0"/>
          <w:numId w:val="22"/>
        </w:numPr>
        <w:spacing w:line="276" w:lineRule="auto"/>
        <w:rPr>
          <w:sz w:val="24"/>
          <w:szCs w:val="24"/>
        </w:rPr>
      </w:pPr>
      <w:r w:rsidRPr="005E728D">
        <w:rPr>
          <w:sz w:val="24"/>
          <w:szCs w:val="24"/>
        </w:rPr>
        <w:t>All hospitals within the region may receive burn patients and should be prepared to provide initial assessment and stabilize the patient.</w:t>
      </w:r>
    </w:p>
    <w:p w14:paraId="5621CDDD" w14:textId="7C9E4356" w:rsidR="00E92CF7" w:rsidRPr="005E728D" w:rsidRDefault="00E92CF7" w:rsidP="00133A04">
      <w:pPr>
        <w:pStyle w:val="ListParagraph"/>
        <w:numPr>
          <w:ilvl w:val="0"/>
          <w:numId w:val="22"/>
        </w:numPr>
        <w:spacing w:line="276" w:lineRule="auto"/>
        <w:rPr>
          <w:sz w:val="24"/>
          <w:szCs w:val="24"/>
        </w:rPr>
      </w:pPr>
      <w:r w:rsidRPr="005E728D">
        <w:rPr>
          <w:sz w:val="24"/>
          <w:szCs w:val="24"/>
        </w:rPr>
        <w:t>Emergency medical services will be responsible for providing the initial triage of the burn patients and will be critical in deciding the appropriate location for patient transfer.  This may be the closest burn center, burn surge facility, or local health care</w:t>
      </w:r>
      <w:r w:rsidR="00BE35F7">
        <w:rPr>
          <w:sz w:val="24"/>
          <w:szCs w:val="24"/>
        </w:rPr>
        <w:t xml:space="preserve"> facility</w:t>
      </w:r>
      <w:r w:rsidRPr="005E728D">
        <w:rPr>
          <w:sz w:val="24"/>
          <w:szCs w:val="24"/>
        </w:rPr>
        <w:t>.</w:t>
      </w:r>
    </w:p>
    <w:p w14:paraId="688A0C8B" w14:textId="48748A13" w:rsidR="00E92CF7" w:rsidRPr="005E728D" w:rsidRDefault="00E92CF7" w:rsidP="00133A04">
      <w:pPr>
        <w:pStyle w:val="ListParagraph"/>
        <w:numPr>
          <w:ilvl w:val="0"/>
          <w:numId w:val="22"/>
        </w:numPr>
        <w:spacing w:line="276" w:lineRule="auto"/>
        <w:rPr>
          <w:sz w:val="24"/>
          <w:szCs w:val="24"/>
        </w:rPr>
      </w:pPr>
      <w:r w:rsidRPr="005E728D">
        <w:rPr>
          <w:sz w:val="24"/>
          <w:szCs w:val="24"/>
        </w:rPr>
        <w:t>The ideal location for care of a burn patient is the burn center or a level I or II trauma center.</w:t>
      </w:r>
    </w:p>
    <w:p w14:paraId="39E1D92A" w14:textId="54F33A26" w:rsidR="00E92CF7" w:rsidRPr="005E728D" w:rsidRDefault="00E92CF7" w:rsidP="00133A04">
      <w:pPr>
        <w:pStyle w:val="ListParagraph"/>
        <w:numPr>
          <w:ilvl w:val="0"/>
          <w:numId w:val="22"/>
        </w:numPr>
        <w:spacing w:line="276" w:lineRule="auto"/>
        <w:rPr>
          <w:sz w:val="24"/>
          <w:szCs w:val="24"/>
        </w:rPr>
      </w:pPr>
      <w:r w:rsidRPr="005E728D">
        <w:rPr>
          <w:sz w:val="24"/>
          <w:szCs w:val="24"/>
        </w:rPr>
        <w:t>Care of a critical burn patient is resource intensive and requires specialized staff.</w:t>
      </w:r>
    </w:p>
    <w:p w14:paraId="120AB2ED" w14:textId="715EA92B" w:rsidR="00E92CF7" w:rsidRPr="005E728D" w:rsidRDefault="00E92CF7" w:rsidP="00133A04">
      <w:pPr>
        <w:pStyle w:val="ListParagraph"/>
        <w:numPr>
          <w:ilvl w:val="0"/>
          <w:numId w:val="22"/>
        </w:numPr>
        <w:spacing w:line="276" w:lineRule="auto"/>
        <w:rPr>
          <w:sz w:val="24"/>
          <w:szCs w:val="24"/>
        </w:rPr>
      </w:pPr>
      <w:r w:rsidRPr="005E728D">
        <w:rPr>
          <w:sz w:val="24"/>
          <w:szCs w:val="24"/>
        </w:rPr>
        <w:t xml:space="preserve">Burn patients often become clinically unstable within 24 hours of injury therefore </w:t>
      </w:r>
      <w:r w:rsidRPr="005E728D">
        <w:rPr>
          <w:sz w:val="24"/>
          <w:szCs w:val="24"/>
        </w:rPr>
        <w:lastRenderedPageBreak/>
        <w:t>transferring the patient to the appropriate care facility in a timely manner is imperative.</w:t>
      </w:r>
    </w:p>
    <w:p w14:paraId="578CC2BE" w14:textId="1E33E058" w:rsidR="00232DEF" w:rsidRPr="005E728D" w:rsidRDefault="00232DEF" w:rsidP="00133A04">
      <w:pPr>
        <w:pStyle w:val="ListParagraph"/>
        <w:numPr>
          <w:ilvl w:val="0"/>
          <w:numId w:val="22"/>
        </w:numPr>
        <w:spacing w:line="276" w:lineRule="auto"/>
        <w:rPr>
          <w:sz w:val="24"/>
          <w:szCs w:val="24"/>
        </w:rPr>
      </w:pPr>
      <w:r w:rsidRPr="005E728D">
        <w:rPr>
          <w:sz w:val="24"/>
          <w:szCs w:val="24"/>
        </w:rPr>
        <w:t>Burn patients may have co-existent traumatic injuries such as inhalation injury, and penetrating trauma.</w:t>
      </w:r>
    </w:p>
    <w:p w14:paraId="086FB4E5" w14:textId="6BDB8A5E" w:rsidR="00E92CF7" w:rsidRPr="00E92CF7" w:rsidRDefault="00E92CF7" w:rsidP="00133A04">
      <w:pPr>
        <w:pStyle w:val="ListParagraph"/>
        <w:spacing w:line="276" w:lineRule="auto"/>
        <w:ind w:left="792"/>
      </w:pPr>
    </w:p>
    <w:p w14:paraId="181E4BF7" w14:textId="1CC7970B" w:rsidR="00CE0523" w:rsidRDefault="00CE0523" w:rsidP="00133A04">
      <w:pPr>
        <w:pStyle w:val="Heading1"/>
        <w:spacing w:after="0" w:line="276" w:lineRule="auto"/>
      </w:pPr>
      <w:bookmarkStart w:id="5" w:name="_Toc136889944"/>
      <w:r w:rsidRPr="007E5787">
        <w:t>Concept of</w:t>
      </w:r>
      <w:r w:rsidRPr="007E5787">
        <w:rPr>
          <w:spacing w:val="-6"/>
        </w:rPr>
        <w:t xml:space="preserve"> </w:t>
      </w:r>
      <w:r w:rsidRPr="007E5787">
        <w:t>Operations</w:t>
      </w:r>
      <w:bookmarkEnd w:id="5"/>
    </w:p>
    <w:p w14:paraId="2FFA5345" w14:textId="77777777" w:rsidR="00277AE3" w:rsidRPr="00277AE3" w:rsidRDefault="00277AE3" w:rsidP="00277AE3"/>
    <w:p w14:paraId="6A789B27" w14:textId="252AD2C2" w:rsidR="00E420DA" w:rsidRDefault="003C05B8" w:rsidP="00133A04">
      <w:pPr>
        <w:pStyle w:val="Heading2"/>
        <w:spacing w:before="0" w:after="0" w:line="276" w:lineRule="auto"/>
      </w:pPr>
      <w:bookmarkStart w:id="6" w:name="_Toc136889945"/>
      <w:r>
        <w:t>Ac</w:t>
      </w:r>
      <w:r w:rsidR="00396480">
        <w:t>tivation</w:t>
      </w:r>
      <w:bookmarkEnd w:id="6"/>
    </w:p>
    <w:p w14:paraId="43E7BA0E" w14:textId="60704D0C" w:rsidR="00396480" w:rsidRDefault="00396480" w:rsidP="00133A04">
      <w:pPr>
        <w:tabs>
          <w:tab w:val="left" w:pos="1080"/>
        </w:tabs>
        <w:spacing w:after="0" w:line="276" w:lineRule="auto"/>
      </w:pPr>
      <w:r>
        <w:t xml:space="preserve">The initial recognition of a burn surge event will typically occur on the scene and involve the responding local emergency medical services agency.  The earliest that there is communication from the scene to the local health care facility the earliest that the burn surge plan can be activated.  </w:t>
      </w:r>
      <w:r w:rsidR="00133A04">
        <w:t xml:space="preserve">As in any emergent situation, activation of local plans occurs first.  </w:t>
      </w:r>
    </w:p>
    <w:p w14:paraId="4F48B500" w14:textId="101147D1" w:rsidR="00133A04" w:rsidRDefault="00133A04" w:rsidP="00133A04">
      <w:pPr>
        <w:tabs>
          <w:tab w:val="left" w:pos="1080"/>
        </w:tabs>
        <w:spacing w:after="0" w:line="276" w:lineRule="auto"/>
      </w:pPr>
      <w:r>
        <w:t>Assessment of the situation will include:</w:t>
      </w:r>
    </w:p>
    <w:p w14:paraId="01FCE41D" w14:textId="2A84E5A3" w:rsidR="00133A04" w:rsidRPr="005E728D" w:rsidRDefault="00133A04" w:rsidP="00133A04">
      <w:pPr>
        <w:pStyle w:val="ListParagraph"/>
        <w:numPr>
          <w:ilvl w:val="0"/>
          <w:numId w:val="23"/>
        </w:numPr>
        <w:tabs>
          <w:tab w:val="left" w:pos="1080"/>
          <w:tab w:val="left" w:pos="1890"/>
        </w:tabs>
        <w:spacing w:line="276" w:lineRule="auto"/>
        <w:rPr>
          <w:sz w:val="24"/>
          <w:szCs w:val="24"/>
        </w:rPr>
      </w:pPr>
      <w:r w:rsidRPr="005E728D">
        <w:rPr>
          <w:sz w:val="24"/>
          <w:szCs w:val="24"/>
        </w:rPr>
        <w:t>Identify the nature and location of the incident</w:t>
      </w:r>
    </w:p>
    <w:p w14:paraId="6588AEA6" w14:textId="1BE7BAFE" w:rsidR="00133A04" w:rsidRPr="005E728D" w:rsidRDefault="00133A04" w:rsidP="00133A04">
      <w:pPr>
        <w:pStyle w:val="ListParagraph"/>
        <w:numPr>
          <w:ilvl w:val="0"/>
          <w:numId w:val="23"/>
        </w:numPr>
        <w:tabs>
          <w:tab w:val="left" w:pos="1080"/>
          <w:tab w:val="left" w:pos="1890"/>
        </w:tabs>
        <w:spacing w:line="276" w:lineRule="auto"/>
        <w:rPr>
          <w:sz w:val="24"/>
          <w:szCs w:val="24"/>
        </w:rPr>
      </w:pPr>
      <w:r w:rsidRPr="005E728D">
        <w:rPr>
          <w:sz w:val="24"/>
          <w:szCs w:val="24"/>
        </w:rPr>
        <w:t>Obtain the projected or actual number of patients</w:t>
      </w:r>
    </w:p>
    <w:p w14:paraId="1A5E1655" w14:textId="73FD4B3A" w:rsidR="00133A04" w:rsidRPr="005E728D" w:rsidRDefault="00133A04" w:rsidP="00133A04">
      <w:pPr>
        <w:pStyle w:val="ListParagraph"/>
        <w:numPr>
          <w:ilvl w:val="0"/>
          <w:numId w:val="23"/>
        </w:numPr>
        <w:tabs>
          <w:tab w:val="left" w:pos="1080"/>
          <w:tab w:val="left" w:pos="1890"/>
        </w:tabs>
        <w:spacing w:line="276" w:lineRule="auto"/>
        <w:rPr>
          <w:sz w:val="24"/>
          <w:szCs w:val="24"/>
        </w:rPr>
      </w:pPr>
      <w:r w:rsidRPr="005E728D">
        <w:rPr>
          <w:sz w:val="24"/>
          <w:szCs w:val="24"/>
        </w:rPr>
        <w:t>Estimate time related to distance away from care center</w:t>
      </w:r>
    </w:p>
    <w:p w14:paraId="573BEA6D" w14:textId="77777777" w:rsidR="00277AE3" w:rsidRDefault="00277AE3" w:rsidP="00277AE3">
      <w:pPr>
        <w:pStyle w:val="ListParagraph"/>
        <w:tabs>
          <w:tab w:val="left" w:pos="1080"/>
          <w:tab w:val="left" w:pos="1890"/>
        </w:tabs>
        <w:spacing w:line="276" w:lineRule="auto"/>
        <w:ind w:left="1080"/>
      </w:pPr>
    </w:p>
    <w:p w14:paraId="6F6DFEA5" w14:textId="4DE43FCE" w:rsidR="003C05B8" w:rsidRDefault="003C05B8" w:rsidP="003C05B8">
      <w:pPr>
        <w:pStyle w:val="Heading2"/>
      </w:pPr>
      <w:bookmarkStart w:id="7" w:name="_Toc136889946"/>
      <w:r>
        <w:t>Notification</w:t>
      </w:r>
      <w:r w:rsidR="005F3390">
        <w:t>s</w:t>
      </w:r>
      <w:bookmarkEnd w:id="7"/>
    </w:p>
    <w:p w14:paraId="6966BED5" w14:textId="67556503" w:rsidR="003C05B8" w:rsidRPr="003C05B8" w:rsidRDefault="00B90ED5" w:rsidP="003C05B8">
      <w:r>
        <w:rPr>
          <w:noProof/>
        </w:rPr>
        <mc:AlternateContent>
          <mc:Choice Requires="wps">
            <w:drawing>
              <wp:anchor distT="0" distB="0" distL="114300" distR="114300" simplePos="0" relativeHeight="251665408" behindDoc="0" locked="0" layoutInCell="1" allowOverlap="1" wp14:anchorId="33533875" wp14:editId="3CF04027">
                <wp:simplePos x="0" y="0"/>
                <wp:positionH relativeFrom="column">
                  <wp:posOffset>5527675</wp:posOffset>
                </wp:positionH>
                <wp:positionV relativeFrom="paragraph">
                  <wp:posOffset>1101725</wp:posOffset>
                </wp:positionV>
                <wp:extent cx="190500" cy="45719"/>
                <wp:effectExtent l="0" t="38100" r="38100" b="107315"/>
                <wp:wrapNone/>
                <wp:docPr id="6" name="Connector: Elbow 6"/>
                <wp:cNvGraphicFramePr/>
                <a:graphic xmlns:a="http://schemas.openxmlformats.org/drawingml/2006/main">
                  <a:graphicData uri="http://schemas.microsoft.com/office/word/2010/wordprocessingShape">
                    <wps:wsp>
                      <wps:cNvCnPr/>
                      <wps:spPr>
                        <a:xfrm>
                          <a:off x="0" y="0"/>
                          <a:ext cx="190500" cy="45719"/>
                        </a:xfrm>
                        <a:prstGeom prst="bentConnector3">
                          <a:avLst>
                            <a:gd name="adj1" fmla="val 1818"/>
                          </a:avLst>
                        </a:prstGeom>
                        <a:ln w="9525" cap="flat" cmpd="sng" algn="ctr">
                          <a:solidFill>
                            <a:schemeClr val="dk1"/>
                          </a:solidFill>
                          <a:prstDash val="dashDot"/>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5CB4A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435.25pt;margin-top:86.75pt;width: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JxQAIAAOcEAAAOAAAAZHJzL2Uyb0RvYy54bWysVMmO2zAMvRfoPwi6N7bTJk2MOHNIZnop&#10;2kGXD2AsKVarDZImTv6+lOw43S5T9CJTFh/J9yhqc3fWipy4D9KahlazkhJuWsukOTb065eHVytK&#10;QgTDQFnDG3rhgd5tX77Y9K7mc9tZxbgnGMSEuncN7WJ0dVGEtuMawsw6bvBQWK8h4tYfC+ahx+ha&#10;FfOyXBa99cx52/IQ8O9+OKTbHF8I3saPQgQeiWoo1hbz6vN6SGux3UB99OA62Y5lwD9UoUEaTDqF&#10;2kME8uTlH6G0bL0NVsRZa3VhhZAtzxyQTVX+xuZzB45nLihOcJNM4f+FbT+cHj2RrKFLSgxobNHO&#10;GoO6WV+Te3WwPVkmlXoXanTemUc/7oJ79InyWXidvkiGnLOyl0lZfo6kxZ/VulyUqH+LR28Wb6t1&#10;ClncsM6H+I5bTZLR0AM3cSrjdRYWTu9DzAqzsU5g3ypKhFbYsBMoUq2q1Rh2dMYE18AJqQzpG7pe&#10;zBdYCOBlEwoimtoh/WCOlIA64i1uo88pg1WSPUilEjjfSL5TnmCuhrLv1ZjrF6+Ubg+hG53Q2tuY&#10;HKH29smwbHUc2L1hJF4cym1wLmgqTHNGieJYQLKyZwSpbp7gve3/7opMlUFFU5eGvmQrXhQfmH/i&#10;Aruc2zOw8cdDIjOMAs4qNuc6EDkYApKjQPrPxI6QhOZ5Ap+Jn0A5vzVxwmtp7Nia9D7cuhHP126I&#10;wf8qxSBA0uJg2SVf3awRTlO+f+Pkp3H9eZ/ht/dp+wMAAP//AwBQSwMEFAAGAAgAAAAhAKGC+Ybd&#10;AAAACwEAAA8AAABkcnMvZG93bnJldi54bWxMj0FPwzAMhe9I/IfISNxYMhBrKU2ngeDAASYG3L0m&#10;NIXGqZJsK/8e7wQ3+72n58/1cvKD2NuY+kAa5jMFwlIbTE+dhve3x4sSRMpIBodAVsOPTbBsTk9q&#10;rEw40Kvdb3InuIRShRpczmMlZWqd9ZhmYbTE3meIHjOvsZMm4oHL/SAvlVpIjz3xBYejvXe2/d7s&#10;vAbz8VyucN4WX4uYupf4sH66c2utz8+m1S2IbKf8F4YjPqNDw0zbsCOTxKChLNQ1R9kornjgxI06&#10;KltWSlWAbGr5/4fmFwAA//8DAFBLAQItABQABgAIAAAAIQC2gziS/gAAAOEBAAATAAAAAAAAAAAA&#10;AAAAAAAAAABbQ29udGVudF9UeXBlc10ueG1sUEsBAi0AFAAGAAgAAAAhADj9If/WAAAAlAEAAAsA&#10;AAAAAAAAAAAAAAAALwEAAF9yZWxzLy5yZWxzUEsBAi0AFAAGAAgAAAAhAC3p0nFAAgAA5wQAAA4A&#10;AAAAAAAAAAAAAAAALgIAAGRycy9lMm9Eb2MueG1sUEsBAi0AFAAGAAgAAAAhAKGC+YbdAAAACwEA&#10;AA8AAAAAAAAAAAAAAAAAmgQAAGRycy9kb3ducmV2LnhtbFBLBQYAAAAABAAEAPMAAACkBQAAAAA=&#10;" adj="393" strokecolor="black [3200]">
                <v:stroke dashstyle="dashDot" endarrow="open" joinstyle="round"/>
              </v:shape>
            </w:pict>
          </mc:Fallback>
        </mc:AlternateContent>
      </w:r>
      <w:r>
        <w:rPr>
          <w:noProof/>
        </w:rPr>
        <mc:AlternateContent>
          <mc:Choice Requires="wps">
            <w:drawing>
              <wp:anchor distT="0" distB="0" distL="114300" distR="114300" simplePos="0" relativeHeight="251664384" behindDoc="0" locked="0" layoutInCell="1" allowOverlap="1" wp14:anchorId="069D7161" wp14:editId="16424518">
                <wp:simplePos x="0" y="0"/>
                <wp:positionH relativeFrom="column">
                  <wp:posOffset>5673725</wp:posOffset>
                </wp:positionH>
                <wp:positionV relativeFrom="paragraph">
                  <wp:posOffset>728345</wp:posOffset>
                </wp:positionV>
                <wp:extent cx="1187450" cy="1231900"/>
                <wp:effectExtent l="0" t="0" r="12700" b="25400"/>
                <wp:wrapNone/>
                <wp:docPr id="3" name="Oval 3"/>
                <wp:cNvGraphicFramePr/>
                <a:graphic xmlns:a="http://schemas.openxmlformats.org/drawingml/2006/main">
                  <a:graphicData uri="http://schemas.microsoft.com/office/word/2010/wordprocessingShape">
                    <wps:wsp>
                      <wps:cNvSpPr/>
                      <wps:spPr>
                        <a:xfrm>
                          <a:off x="0" y="0"/>
                          <a:ext cx="1187450" cy="1231900"/>
                        </a:xfrm>
                        <a:prstGeom prst="ellipse">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15D72" w14:textId="7414D323" w:rsidR="0030772E" w:rsidRPr="005F3390" w:rsidRDefault="0030772E" w:rsidP="005F3390">
                            <w:pPr>
                              <w:ind w:left="0"/>
                              <w:jc w:val="center"/>
                              <w:rPr>
                                <w:sz w:val="16"/>
                                <w:szCs w:val="16"/>
                              </w:rPr>
                            </w:pPr>
                            <w:r w:rsidRPr="005F3390">
                              <w:rPr>
                                <w:sz w:val="16"/>
                                <w:szCs w:val="16"/>
                              </w:rPr>
                              <w:t>Local hospital notifies Regional Healthcare Coalition of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D7161" id="Oval 3" o:spid="_x0000_s1028" style="position:absolute;left:0;text-align:left;margin-left:446.75pt;margin-top:57.35pt;width:93.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EalAIAAOwFAAAOAAAAZHJzL2Uyb0RvYy54bWy0VMFu2zAMvQ/YPwi6r7azdG2DOkXQosOA&#10;bi3WDj0rslQLkERNUmJnXz9KdtxsLXYYtossiuQj+Uzy/KI3mmyFDwpsTaujkhJhOTTKPtX028P1&#10;u1NKQmS2YRqsqOlOBHqxfPvmvHMLMYMWdCM8QRAbFp2raRujWxRF4K0wLByBExaVErxhEUX/VDSe&#10;dYhudDEryw9FB75xHrgIAV+vBiVdZnwpBY+3UgYRia4p5hbz6fO5TmexPGeLJ89cq/iYBvuLLAxT&#10;FoNOUFcsMrLx6gWUUdxDABmPOJgCpFRc5Bqwmqr8rZr7ljmRa0FygptoCv8Oln/Z3rs7jzR0LiwC&#10;XlMVvfQmfTE/0meydhNZoo+E42NVnZ7Mj5FTjrpq9r46KzOdxbO78yF+FGBIutRUaK1cSAWxBdve&#10;hIhR0XpvlZ4DaNVcK62zkJpAXGpPtgx/H+Nc2DjP7npjPkMzvJ8cl1Pk3DfJJSP/gqbtfw2AhaQI&#10;xTON+RZ3WqS42n4VkqgGiZvlCqZMD4urBlXLGjE8p9L2rE4eubYMmJAlsjVhjwCvEVelXscsR/vk&#10;KvKATM7lnxIbnCePHBlsnJyNsuBfA9BxijzY70kaqEksxX7dIzeJmrER19Ds7jzxMAxscPxaYQ/d&#10;sBDvmMcJxb7DrRNv8ZAauprCeKOkBf/jtfdkj4ODWko6nPiahu8b5gUl+pPFkTqr5vO0IrIwPz6Z&#10;oeAPNetDjd2YS8CurHC/OZ6vyT7q/VV6MI+4nFYpKqqY5Ri7pjz6vXAZh02E642L1Sqb4VpwLN7Y&#10;e8cTeOI5DchD/8i8Gwcp4gx+gf12eDFMg23ytLDaRJAqT1pieuB1/AO4UnJHjOsv7axDOVs9L+nl&#10;TwAAAP//AwBQSwMEFAAGAAgAAAAhAE+GPY/hAAAADAEAAA8AAABkcnMvZG93bnJldi54bWxMj8FO&#10;wzAMhu9IvENkJG4saQcslKbTGEJoF9gGF25pG9KKxqmadOveHu8ER/v/9Ptzvpxcxw5mCK1HBclM&#10;ADNY+bpFq+Dz4+VGAgtRY607j0bByQRYFpcXuc5qf8SdOeyjZVSCIdMKmhj7jPNQNcbpMPO9Qcq+&#10;/eB0pHGwvB70kcpdx1Mh7rnTLdKFRvdm3ZjqZz86BeX4lmJqT9un51dbyvfka72yG6Wur6bVI7Bo&#10;pvgHw1mf1KEgp9KPWAfWKZAP8ztCKUhuF8DOhJCCVqWCuZAL4EXO/z9R/AIAAP//AwBQSwECLQAU&#10;AAYACAAAACEAtoM4kv4AAADhAQAAEwAAAAAAAAAAAAAAAAAAAAAAW0NvbnRlbnRfVHlwZXNdLnht&#10;bFBLAQItABQABgAIAAAAIQA4/SH/1gAAAJQBAAALAAAAAAAAAAAAAAAAAC8BAABfcmVscy8ucmVs&#10;c1BLAQItABQABgAIAAAAIQC5KOEalAIAAOwFAAAOAAAAAAAAAAAAAAAAAC4CAABkcnMvZTJvRG9j&#10;LnhtbFBLAQItABQABgAIAAAAIQBPhj2P4QAAAAwBAAAPAAAAAAAAAAAAAAAAAO4EAABkcnMvZG93&#10;bnJldi54bWxQSwUGAAAAAAQABADzAAAA/AUAAAAA&#10;" fillcolor="#ba8e2c [2407]" strokecolor="#ba8e2c [2407]" strokeweight="1pt">
                <v:stroke joinstyle="miter"/>
                <v:textbox>
                  <w:txbxContent>
                    <w:p w14:paraId="69015D72" w14:textId="7414D323" w:rsidR="0030772E" w:rsidRPr="005F3390" w:rsidRDefault="0030772E" w:rsidP="005F3390">
                      <w:pPr>
                        <w:ind w:left="0"/>
                        <w:jc w:val="center"/>
                        <w:rPr>
                          <w:sz w:val="16"/>
                          <w:szCs w:val="16"/>
                        </w:rPr>
                      </w:pPr>
                      <w:r w:rsidRPr="005F3390">
                        <w:rPr>
                          <w:sz w:val="16"/>
                          <w:szCs w:val="16"/>
                        </w:rPr>
                        <w:t>Local hospital notifies Regional Healthcare Coalition of situation</w:t>
                      </w:r>
                    </w:p>
                  </w:txbxContent>
                </v:textbox>
              </v:oval>
            </w:pict>
          </mc:Fallback>
        </mc:AlternateContent>
      </w:r>
      <w:r w:rsidR="003C05B8">
        <w:rPr>
          <w:noProof/>
        </w:rPr>
        <w:drawing>
          <wp:inline distT="0" distB="0" distL="0" distR="0" wp14:anchorId="382525D6" wp14:editId="4704EAEE">
            <wp:extent cx="5486400" cy="3200400"/>
            <wp:effectExtent l="190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5CB8E18" w14:textId="03C0FB55" w:rsidR="005F3390" w:rsidRDefault="005F3390" w:rsidP="00133A04">
      <w:pPr>
        <w:pStyle w:val="Heading2"/>
        <w:spacing w:before="0" w:after="0" w:line="276" w:lineRule="auto"/>
      </w:pPr>
      <w:bookmarkStart w:id="8" w:name="_Toc136889947"/>
      <w:r>
        <w:t>Roles and Responsibilities</w:t>
      </w:r>
      <w:bookmarkEnd w:id="8"/>
    </w:p>
    <w:p w14:paraId="1D76922B" w14:textId="06E90727" w:rsidR="0030772E" w:rsidRPr="0030772E" w:rsidRDefault="0030772E" w:rsidP="0030772E">
      <w:r>
        <w:t>See the State of Minnesota Burn Surge Plan Table 4 for a more in-depth review of the roles and responsibilities during a burn response.</w:t>
      </w:r>
    </w:p>
    <w:p w14:paraId="36F5D38F" w14:textId="4870ADE2" w:rsidR="00CE0523" w:rsidRPr="007E5787" w:rsidRDefault="00CE0523" w:rsidP="005F3390">
      <w:pPr>
        <w:pStyle w:val="Heading3"/>
        <w:rPr>
          <w:rFonts w:eastAsia="Times New Roman"/>
          <w:b/>
          <w:bCs/>
        </w:rPr>
      </w:pPr>
      <w:bookmarkStart w:id="9" w:name="_Toc136889948"/>
      <w:r w:rsidRPr="007E5787">
        <w:lastRenderedPageBreak/>
        <w:t>Initial Receiving</w:t>
      </w:r>
      <w:r w:rsidRPr="007E5787">
        <w:rPr>
          <w:spacing w:val="-10"/>
        </w:rPr>
        <w:t xml:space="preserve"> </w:t>
      </w:r>
      <w:r w:rsidRPr="007E5787">
        <w:t>Hospital(s)</w:t>
      </w:r>
      <w:bookmarkEnd w:id="9"/>
    </w:p>
    <w:p w14:paraId="11537C00" w14:textId="690852D1" w:rsidR="00047740" w:rsidRPr="00047740" w:rsidRDefault="00CE0523" w:rsidP="00047740">
      <w:pPr>
        <w:pStyle w:val="ListParagraph"/>
        <w:numPr>
          <w:ilvl w:val="0"/>
          <w:numId w:val="28"/>
        </w:numPr>
        <w:spacing w:line="276" w:lineRule="auto"/>
        <w:rPr>
          <w:sz w:val="24"/>
          <w:szCs w:val="24"/>
        </w:rPr>
      </w:pPr>
      <w:r w:rsidRPr="00047740">
        <w:rPr>
          <w:sz w:val="24"/>
          <w:szCs w:val="24"/>
        </w:rPr>
        <w:t xml:space="preserve">The initial receiving hospital will provide initial stabilization and treatment to burned patients, as directed by their medical director or through advisors at one of the MN Burn Centers. Although burn patients should be transferred to the appropriate burn center as soon as possible, the extent of the incident and the availability of burn bed resources may exceed capacity of the burn center. If this occurs, patients may be transferred to an alternative location, such as a Burn Surge </w:t>
      </w:r>
      <w:r w:rsidR="00BE35F7">
        <w:rPr>
          <w:sz w:val="24"/>
          <w:szCs w:val="24"/>
        </w:rPr>
        <w:t>Facility</w:t>
      </w:r>
      <w:r w:rsidRPr="00047740">
        <w:rPr>
          <w:sz w:val="24"/>
          <w:szCs w:val="24"/>
        </w:rPr>
        <w:t xml:space="preserve">. </w:t>
      </w:r>
    </w:p>
    <w:p w14:paraId="1197864F" w14:textId="77777777" w:rsidR="00047740" w:rsidRPr="00047740" w:rsidRDefault="00B011BF" w:rsidP="00047740">
      <w:pPr>
        <w:pStyle w:val="ListParagraph"/>
        <w:numPr>
          <w:ilvl w:val="0"/>
          <w:numId w:val="28"/>
        </w:numPr>
        <w:spacing w:line="276" w:lineRule="auto"/>
        <w:rPr>
          <w:sz w:val="24"/>
          <w:szCs w:val="24"/>
        </w:rPr>
      </w:pPr>
      <w:r w:rsidRPr="00047740">
        <w:rPr>
          <w:sz w:val="24"/>
          <w:szCs w:val="24"/>
        </w:rPr>
        <w:t xml:space="preserve">The initial receiving hospital may be required to care for the burn victim until a higher level of care is available either at the Burn Center or a Burn Surge facility.  Working with the Burn Center and utilizing telehealth options will ensure that the appropriate patient care is being provided. </w:t>
      </w:r>
    </w:p>
    <w:p w14:paraId="0FC1D3E4" w14:textId="76B9996E" w:rsidR="00CE0523" w:rsidRDefault="00B011BF" w:rsidP="00047740">
      <w:pPr>
        <w:pStyle w:val="ListParagraph"/>
        <w:numPr>
          <w:ilvl w:val="0"/>
          <w:numId w:val="28"/>
        </w:numPr>
        <w:spacing w:line="276" w:lineRule="auto"/>
        <w:rPr>
          <w:sz w:val="24"/>
          <w:szCs w:val="24"/>
        </w:rPr>
      </w:pPr>
      <w:r w:rsidRPr="00047740">
        <w:rPr>
          <w:sz w:val="24"/>
          <w:szCs w:val="24"/>
        </w:rPr>
        <w:t>Transportation arrangements should be coordinated by the initial hospital and the receiving facility, utilizing agreements with their Emergency Medical Services (EMS)</w:t>
      </w:r>
      <w:r w:rsidRPr="00047740">
        <w:rPr>
          <w:spacing w:val="-19"/>
          <w:sz w:val="24"/>
          <w:szCs w:val="24"/>
        </w:rPr>
        <w:t xml:space="preserve"> </w:t>
      </w:r>
      <w:r w:rsidRPr="00047740">
        <w:rPr>
          <w:sz w:val="24"/>
          <w:szCs w:val="24"/>
        </w:rPr>
        <w:t>partners.</w:t>
      </w:r>
      <w:r w:rsidR="00047740">
        <w:rPr>
          <w:sz w:val="24"/>
          <w:szCs w:val="24"/>
        </w:rPr>
        <w:t xml:space="preserve">  </w:t>
      </w:r>
    </w:p>
    <w:p w14:paraId="49400F24" w14:textId="03F029D0" w:rsidR="00047740" w:rsidRPr="00AD4EE4" w:rsidRDefault="00AD4EE4" w:rsidP="00047740">
      <w:pPr>
        <w:pStyle w:val="ListParagraph"/>
        <w:numPr>
          <w:ilvl w:val="0"/>
          <w:numId w:val="28"/>
        </w:numPr>
        <w:spacing w:line="276" w:lineRule="auto"/>
        <w:rPr>
          <w:sz w:val="24"/>
          <w:szCs w:val="24"/>
        </w:rPr>
      </w:pPr>
      <w:r w:rsidRPr="00AD4EE4">
        <w:rPr>
          <w:sz w:val="24"/>
          <w:szCs w:val="24"/>
        </w:rPr>
        <w:t xml:space="preserve">Refer to the </w:t>
      </w:r>
      <w:hyperlink r:id="rId18" w:history="1">
        <w:r w:rsidRPr="00AD4EE4">
          <w:rPr>
            <w:rStyle w:val="Hyperlink"/>
            <w:b/>
            <w:bCs/>
            <w:color w:val="auto"/>
          </w:rPr>
          <w:t>State of MN Burn Surge Plan</w:t>
        </w:r>
      </w:hyperlink>
      <w:r>
        <w:t xml:space="preserve"> </w:t>
      </w:r>
      <w:r w:rsidR="00047740" w:rsidRPr="00AD4EE4">
        <w:rPr>
          <w:sz w:val="24"/>
          <w:szCs w:val="24"/>
        </w:rPr>
        <w:t>for referral criteria</w:t>
      </w:r>
    </w:p>
    <w:p w14:paraId="6597B304" w14:textId="2454189F" w:rsidR="00F61C45" w:rsidRDefault="00B011BF" w:rsidP="00F61C45">
      <w:pPr>
        <w:pStyle w:val="Heading3"/>
      </w:pPr>
      <w:bookmarkStart w:id="10" w:name="_Toc136889949"/>
      <w:r>
        <w:t>B</w:t>
      </w:r>
      <w:r w:rsidR="00F61C45">
        <w:t>urn center</w:t>
      </w:r>
      <w:bookmarkEnd w:id="10"/>
    </w:p>
    <w:p w14:paraId="15C008EA" w14:textId="77777777" w:rsidR="00B90ED5" w:rsidRPr="00047740" w:rsidRDefault="00B90ED5" w:rsidP="00B90ED5">
      <w:pPr>
        <w:pStyle w:val="ListParagraph"/>
        <w:numPr>
          <w:ilvl w:val="0"/>
          <w:numId w:val="25"/>
        </w:numPr>
        <w:rPr>
          <w:sz w:val="24"/>
          <w:szCs w:val="24"/>
        </w:rPr>
      </w:pPr>
      <w:r w:rsidRPr="00047740">
        <w:rPr>
          <w:sz w:val="24"/>
          <w:szCs w:val="24"/>
        </w:rPr>
        <w:t xml:space="preserve">Either HCMC or Regions burn center – whomever is contacted first – will take the lead in the surge event.  </w:t>
      </w:r>
    </w:p>
    <w:p w14:paraId="494164C7" w14:textId="0322C092" w:rsidR="00B011BF" w:rsidRPr="00047740" w:rsidRDefault="00B90ED5" w:rsidP="00B90ED5">
      <w:pPr>
        <w:pStyle w:val="ListParagraph"/>
        <w:numPr>
          <w:ilvl w:val="0"/>
          <w:numId w:val="25"/>
        </w:numPr>
        <w:rPr>
          <w:sz w:val="24"/>
          <w:szCs w:val="24"/>
        </w:rPr>
      </w:pPr>
      <w:r w:rsidRPr="00047740">
        <w:rPr>
          <w:sz w:val="24"/>
          <w:szCs w:val="24"/>
        </w:rPr>
        <w:t xml:space="preserve">The medical director of that facility will determine which facility would be the most appropriate for the burn patient by reviewing their injuries and treatment needed.  </w:t>
      </w:r>
    </w:p>
    <w:p w14:paraId="6742400F" w14:textId="063D51FE" w:rsidR="00B90ED5" w:rsidRPr="00047740" w:rsidRDefault="00B90ED5" w:rsidP="00B90ED5">
      <w:pPr>
        <w:pStyle w:val="ListParagraph"/>
        <w:numPr>
          <w:ilvl w:val="0"/>
          <w:numId w:val="25"/>
        </w:numPr>
        <w:rPr>
          <w:sz w:val="24"/>
          <w:szCs w:val="24"/>
        </w:rPr>
      </w:pPr>
      <w:r w:rsidRPr="00047740">
        <w:rPr>
          <w:sz w:val="24"/>
          <w:szCs w:val="24"/>
        </w:rPr>
        <w:t>Will act as point of contact for health care facilities currently caring for a burn victim – may provide support via telemedicine when available.</w:t>
      </w:r>
    </w:p>
    <w:p w14:paraId="3CFF3375" w14:textId="797F34F2" w:rsidR="005F3390" w:rsidRDefault="00B011BF" w:rsidP="005F3390">
      <w:pPr>
        <w:pStyle w:val="Heading3"/>
        <w:rPr>
          <w:rFonts w:eastAsia="Times New Roman"/>
        </w:rPr>
      </w:pPr>
      <w:bookmarkStart w:id="11" w:name="_Toc136889950"/>
      <w:r>
        <w:rPr>
          <w:rFonts w:eastAsia="Times New Roman"/>
        </w:rPr>
        <w:t>B</w:t>
      </w:r>
      <w:r w:rsidR="005F3390">
        <w:rPr>
          <w:rFonts w:eastAsia="Times New Roman"/>
        </w:rPr>
        <w:t>urn surge facility</w:t>
      </w:r>
      <w:bookmarkEnd w:id="11"/>
    </w:p>
    <w:p w14:paraId="201F172D" w14:textId="4A315B46" w:rsidR="00B90ED5" w:rsidRPr="00047740" w:rsidRDefault="00B90ED5" w:rsidP="00B90ED5">
      <w:pPr>
        <w:pStyle w:val="ListParagraph"/>
        <w:numPr>
          <w:ilvl w:val="0"/>
          <w:numId w:val="26"/>
        </w:numPr>
        <w:rPr>
          <w:sz w:val="24"/>
          <w:szCs w:val="24"/>
        </w:rPr>
      </w:pPr>
      <w:r w:rsidRPr="00047740">
        <w:rPr>
          <w:sz w:val="24"/>
          <w:szCs w:val="24"/>
        </w:rPr>
        <w:t>Will maintain situational awareness when activated and prepare to receive a burn patient.</w:t>
      </w:r>
    </w:p>
    <w:p w14:paraId="62876152" w14:textId="536210EC" w:rsidR="00B90ED5" w:rsidRPr="00047740" w:rsidRDefault="00B90ED5" w:rsidP="00B90ED5">
      <w:pPr>
        <w:pStyle w:val="ListParagraph"/>
        <w:numPr>
          <w:ilvl w:val="0"/>
          <w:numId w:val="26"/>
        </w:numPr>
        <w:rPr>
          <w:sz w:val="24"/>
          <w:szCs w:val="24"/>
        </w:rPr>
      </w:pPr>
      <w:r w:rsidRPr="00047740">
        <w:rPr>
          <w:sz w:val="24"/>
          <w:szCs w:val="24"/>
        </w:rPr>
        <w:t xml:space="preserve">Will activate surge plans </w:t>
      </w:r>
      <w:r w:rsidR="00AD4EE4" w:rsidRPr="00047740">
        <w:rPr>
          <w:sz w:val="24"/>
          <w:szCs w:val="24"/>
        </w:rPr>
        <w:t>to</w:t>
      </w:r>
      <w:r w:rsidRPr="00047740">
        <w:rPr>
          <w:sz w:val="24"/>
          <w:szCs w:val="24"/>
        </w:rPr>
        <w:t xml:space="preserve"> increase capacity to care for a burn patient – this may include level loading patients or discharge patients if appropriate.</w:t>
      </w:r>
    </w:p>
    <w:p w14:paraId="717FAE54" w14:textId="2D39F058" w:rsidR="00B90ED5" w:rsidRPr="00047740" w:rsidRDefault="00B90ED5" w:rsidP="00B90ED5">
      <w:pPr>
        <w:pStyle w:val="ListParagraph"/>
        <w:numPr>
          <w:ilvl w:val="0"/>
          <w:numId w:val="26"/>
        </w:numPr>
        <w:rPr>
          <w:sz w:val="24"/>
          <w:szCs w:val="24"/>
        </w:rPr>
      </w:pPr>
      <w:r w:rsidRPr="00047740">
        <w:rPr>
          <w:sz w:val="24"/>
          <w:szCs w:val="24"/>
        </w:rPr>
        <w:t>Will work with the Burn Center to determine the best treatment course for the burn patient.</w:t>
      </w:r>
    </w:p>
    <w:p w14:paraId="4683135A" w14:textId="77777777" w:rsidR="00CE0523" w:rsidRPr="007E5787" w:rsidRDefault="00CE0523" w:rsidP="005F3390">
      <w:pPr>
        <w:pStyle w:val="Heading3"/>
        <w:rPr>
          <w:rFonts w:eastAsia="Times New Roman"/>
          <w:b/>
          <w:bCs/>
        </w:rPr>
      </w:pPr>
      <w:bookmarkStart w:id="12" w:name="_Toc136889951"/>
      <w:r w:rsidRPr="007E5787">
        <w:t>Regional Healthcare Preparedness Coordinators</w:t>
      </w:r>
      <w:r w:rsidRPr="007E5787">
        <w:rPr>
          <w:spacing w:val="-19"/>
        </w:rPr>
        <w:t xml:space="preserve"> </w:t>
      </w:r>
      <w:r w:rsidRPr="007E5787">
        <w:t>(RHPC)</w:t>
      </w:r>
      <w:bookmarkEnd w:id="12"/>
    </w:p>
    <w:p w14:paraId="29BD642C" w14:textId="77777777" w:rsidR="00B90ED5" w:rsidRPr="00047740" w:rsidRDefault="00CE0523" w:rsidP="00B90ED5">
      <w:pPr>
        <w:pStyle w:val="ListParagraph"/>
        <w:numPr>
          <w:ilvl w:val="0"/>
          <w:numId w:val="27"/>
        </w:numPr>
        <w:spacing w:line="276" w:lineRule="auto"/>
        <w:rPr>
          <w:sz w:val="24"/>
          <w:szCs w:val="24"/>
        </w:rPr>
      </w:pPr>
      <w:r w:rsidRPr="00047740">
        <w:rPr>
          <w:sz w:val="24"/>
          <w:szCs w:val="24"/>
        </w:rPr>
        <w:t xml:space="preserve">During a burn surge event, the RHPCs in the state will be notified of the activation of the MN Burn Surge plan by the Metro Regional Healthcare Resource Center (RHRC). </w:t>
      </w:r>
    </w:p>
    <w:p w14:paraId="03937A7D" w14:textId="77777777" w:rsidR="00B90ED5" w:rsidRPr="00047740" w:rsidRDefault="00CE0523" w:rsidP="00B90ED5">
      <w:pPr>
        <w:pStyle w:val="ListParagraph"/>
        <w:numPr>
          <w:ilvl w:val="0"/>
          <w:numId w:val="27"/>
        </w:numPr>
        <w:spacing w:line="276" w:lineRule="auto"/>
        <w:rPr>
          <w:sz w:val="24"/>
          <w:szCs w:val="24"/>
        </w:rPr>
      </w:pPr>
      <w:r w:rsidRPr="00047740">
        <w:rPr>
          <w:sz w:val="24"/>
          <w:szCs w:val="24"/>
        </w:rPr>
        <w:t xml:space="preserve">The RHPC will communicate with regional partners and together, a decision will be made if the West Central Health Multi-Agency Coordination Center (WCMHMAC) needs to be opened, either physically or virtually. </w:t>
      </w:r>
    </w:p>
    <w:p w14:paraId="587C7719" w14:textId="77777777" w:rsidR="00B90ED5" w:rsidRDefault="00CE0523" w:rsidP="00B90ED5">
      <w:pPr>
        <w:pStyle w:val="ListParagraph"/>
        <w:numPr>
          <w:ilvl w:val="0"/>
          <w:numId w:val="27"/>
        </w:numPr>
        <w:spacing w:line="276" w:lineRule="auto"/>
        <w:rPr>
          <w:sz w:val="24"/>
          <w:szCs w:val="24"/>
        </w:rPr>
      </w:pPr>
      <w:r w:rsidRPr="00047740">
        <w:rPr>
          <w:sz w:val="24"/>
          <w:szCs w:val="24"/>
        </w:rPr>
        <w:t xml:space="preserve">The HMAC will be available to assist with resource requests as needed during the surge </w:t>
      </w:r>
      <w:r w:rsidRPr="00047740">
        <w:rPr>
          <w:sz w:val="24"/>
          <w:szCs w:val="24"/>
        </w:rPr>
        <w:lastRenderedPageBreak/>
        <w:t>event, however, they will not be directly involved in patient care activities and will not coordinate patient movement.</w:t>
      </w:r>
    </w:p>
    <w:p w14:paraId="174893BC" w14:textId="005D8172" w:rsidR="007D0922" w:rsidRPr="00047740" w:rsidRDefault="007D0922" w:rsidP="007D0922">
      <w:pPr>
        <w:pStyle w:val="ListParagraph"/>
        <w:numPr>
          <w:ilvl w:val="1"/>
          <w:numId w:val="27"/>
        </w:numPr>
        <w:spacing w:line="276" w:lineRule="auto"/>
        <w:rPr>
          <w:sz w:val="24"/>
          <w:szCs w:val="24"/>
        </w:rPr>
      </w:pPr>
      <w:r>
        <w:rPr>
          <w:sz w:val="24"/>
          <w:szCs w:val="24"/>
        </w:rPr>
        <w:t>The Regional Medical Operations Coordination Cell (RMOCC) may be convened, if necessary, to facilitate communications between facilities/partners during the response.  Discussion may include moving non-burn related patients from the effected facilities to other facilities to assist with level-loading and to increase staffing and resource capabilities at the facilities dealing with burn patients.</w:t>
      </w:r>
    </w:p>
    <w:p w14:paraId="2D8A306C" w14:textId="528D8F7F" w:rsidR="00CE0523" w:rsidRPr="00047740" w:rsidRDefault="00CE0523" w:rsidP="00B90ED5">
      <w:pPr>
        <w:pStyle w:val="ListParagraph"/>
        <w:numPr>
          <w:ilvl w:val="0"/>
          <w:numId w:val="27"/>
        </w:numPr>
        <w:spacing w:line="276" w:lineRule="auto"/>
        <w:rPr>
          <w:sz w:val="24"/>
          <w:szCs w:val="24"/>
        </w:rPr>
      </w:pPr>
      <w:r w:rsidRPr="00047740">
        <w:rPr>
          <w:sz w:val="24"/>
          <w:szCs w:val="24"/>
        </w:rPr>
        <w:t>If there is a request for identification of available beds within the region or in neighboring regions, the RHPC will initiate bed tracking within the MNTrac system. The information obtained will be shared with the appropriate partners. The HMAC will communicate with regional partners according to the regional communication plan.  See Appendix 3.5.</w:t>
      </w:r>
      <w:r w:rsidR="00B90ED5" w:rsidRPr="00047740">
        <w:rPr>
          <w:sz w:val="24"/>
          <w:szCs w:val="24"/>
        </w:rPr>
        <w:t>5</w:t>
      </w:r>
      <w:r w:rsidRPr="00047740">
        <w:rPr>
          <w:sz w:val="24"/>
          <w:szCs w:val="24"/>
        </w:rPr>
        <w:t xml:space="preserve"> WCMHPC Communication</w:t>
      </w:r>
      <w:r w:rsidRPr="00047740">
        <w:rPr>
          <w:spacing w:val="-13"/>
          <w:sz w:val="24"/>
          <w:szCs w:val="24"/>
        </w:rPr>
        <w:t xml:space="preserve"> </w:t>
      </w:r>
      <w:r w:rsidRPr="00047740">
        <w:rPr>
          <w:sz w:val="24"/>
          <w:szCs w:val="24"/>
        </w:rPr>
        <w:t>Plan.</w:t>
      </w:r>
    </w:p>
    <w:p w14:paraId="1BC6E935" w14:textId="77777777" w:rsidR="00277AE3" w:rsidRPr="00047740" w:rsidRDefault="00277AE3" w:rsidP="00277AE3">
      <w:pPr>
        <w:pStyle w:val="ListParagraph"/>
        <w:spacing w:line="276" w:lineRule="auto"/>
        <w:ind w:left="792"/>
        <w:rPr>
          <w:sz w:val="24"/>
          <w:szCs w:val="24"/>
        </w:rPr>
      </w:pPr>
    </w:p>
    <w:p w14:paraId="3F7B099F" w14:textId="0A1943D0" w:rsidR="00F61C45" w:rsidRDefault="00F61C45" w:rsidP="00F61C45">
      <w:pPr>
        <w:pStyle w:val="Heading2"/>
        <w:rPr>
          <w:rFonts w:eastAsia="Times New Roman"/>
        </w:rPr>
      </w:pPr>
      <w:bookmarkStart w:id="13" w:name="_Toc136889952"/>
      <w:r>
        <w:rPr>
          <w:rFonts w:eastAsia="Times New Roman"/>
        </w:rPr>
        <w:t>Logistics</w:t>
      </w:r>
      <w:bookmarkEnd w:id="13"/>
    </w:p>
    <w:p w14:paraId="064B3751" w14:textId="5B44CC01" w:rsidR="004757F8" w:rsidRPr="004757F8" w:rsidRDefault="004757F8" w:rsidP="004757F8">
      <w:r>
        <w:t>A burn patient requires specific treatment protocols that are resource intensive.  The region may be asked to assist in obtaining the resources for facilities that are caring for a burn patient and waiting for transportation to a higher level of care.</w:t>
      </w:r>
    </w:p>
    <w:p w14:paraId="66BFB51D" w14:textId="008DE161" w:rsidR="00F61C45" w:rsidRDefault="004757F8" w:rsidP="00F61C45">
      <w:pPr>
        <w:pStyle w:val="Heading3"/>
      </w:pPr>
      <w:bookmarkStart w:id="14" w:name="_Toc136889953"/>
      <w:r>
        <w:t>S</w:t>
      </w:r>
      <w:r w:rsidR="00F61C45">
        <w:t>taff</w:t>
      </w:r>
      <w:bookmarkEnd w:id="14"/>
    </w:p>
    <w:p w14:paraId="2B373756" w14:textId="77777777" w:rsidR="00DB3080" w:rsidRDefault="004757F8" w:rsidP="004757F8">
      <w:r>
        <w:t xml:space="preserve">If a local health care facility is caring for a burn patient for an extended amount of time and they have limited staff, the facility can reach out to the coalition who will reach out to neighboring facilities to request assistance.  This assistance would be requested via the Regional Memorandum of Understanding.  </w:t>
      </w:r>
    </w:p>
    <w:p w14:paraId="3C9BA85C" w14:textId="231301C2" w:rsidR="004757F8" w:rsidRPr="004757F8" w:rsidRDefault="004757F8" w:rsidP="004757F8">
      <w:pPr>
        <w:rPr>
          <w:rFonts w:ascii="Calibri Light" w:eastAsia="Times New Roman" w:hAnsi="Calibri Light" w:cs="Times New Roman"/>
          <w:b/>
          <w:color w:val="9B8357"/>
          <w:kern w:val="0"/>
          <w:szCs w:val="24"/>
          <w:lang w:eastAsia="en-US"/>
          <w14:ligatures w14:val="none"/>
        </w:rPr>
      </w:pPr>
      <w:r>
        <w:t xml:space="preserve">See the </w:t>
      </w:r>
      <w:bookmarkStart w:id="15" w:name="_Toc52430546"/>
      <w:r w:rsidRPr="004757F8">
        <w:rPr>
          <w:rFonts w:ascii="Calibri Light" w:eastAsia="Times New Roman" w:hAnsi="Calibri Light" w:cs="Times New Roman"/>
          <w:b/>
          <w:kern w:val="0"/>
          <w:szCs w:val="24"/>
          <w:lang w:eastAsia="en-US"/>
          <w14:ligatures w14:val="none"/>
        </w:rPr>
        <w:t>3.5.6 Regional Resource Allocation Plan</w:t>
      </w:r>
      <w:bookmarkEnd w:id="15"/>
    </w:p>
    <w:p w14:paraId="28EB11B7" w14:textId="796719F9" w:rsidR="00F61C45" w:rsidRDefault="00F61C45" w:rsidP="00F61C45">
      <w:pPr>
        <w:pStyle w:val="Heading3"/>
      </w:pPr>
      <w:bookmarkStart w:id="16" w:name="_Toc136889954"/>
      <w:r>
        <w:t>Supples</w:t>
      </w:r>
      <w:bookmarkEnd w:id="16"/>
    </w:p>
    <w:p w14:paraId="035C6E48" w14:textId="0D68913D" w:rsidR="004757F8" w:rsidRPr="0021413F" w:rsidRDefault="004757F8" w:rsidP="004757F8">
      <w:pPr>
        <w:rPr>
          <w:b/>
          <w:bCs/>
        </w:rPr>
      </w:pPr>
      <w:r>
        <w:t>The coalition does not have the supplies to care for a burn patient however, utilizing the Regional Memorandum of Understanding and the Regional Resource Allocation Plan, facilities can request assistance for obtaining supplies by reaching out to the coalition who in turn can reach out to coalition members for support.</w:t>
      </w:r>
      <w:r w:rsidR="00BE35F7">
        <w:t xml:space="preserve"> The state plan outlines supply recommendations for facilities to maintain for either outpatient or inpatient burn victims (see pg. 10-12, </w:t>
      </w:r>
      <w:bookmarkStart w:id="17" w:name="_Hlk82579103"/>
      <w:r w:rsidR="00AD4EE4" w:rsidRPr="0021413F">
        <w:rPr>
          <w:b/>
          <w:bCs/>
        </w:rPr>
        <w:fldChar w:fldCharType="begin"/>
      </w:r>
      <w:r w:rsidR="00AD4EE4" w:rsidRPr="0021413F">
        <w:rPr>
          <w:b/>
          <w:bCs/>
        </w:rPr>
        <w:instrText xml:space="preserve"> HYPERLINK "https://www.health.state.mn.us/communities/ep/surge/burn/burnsurgeplan.pdf" </w:instrText>
      </w:r>
      <w:r w:rsidR="00AD4EE4" w:rsidRPr="0021413F">
        <w:rPr>
          <w:b/>
          <w:bCs/>
        </w:rPr>
      </w:r>
      <w:r w:rsidR="00AD4EE4" w:rsidRPr="0021413F">
        <w:rPr>
          <w:b/>
          <w:bCs/>
        </w:rPr>
        <w:fldChar w:fldCharType="separate"/>
      </w:r>
      <w:r w:rsidR="00AD4EE4" w:rsidRPr="0021413F">
        <w:rPr>
          <w:rStyle w:val="Hyperlink"/>
          <w:b/>
          <w:bCs/>
          <w:color w:val="auto"/>
        </w:rPr>
        <w:t>State of MN Burn Surge Plan</w:t>
      </w:r>
      <w:r w:rsidR="00AD4EE4" w:rsidRPr="0021413F">
        <w:rPr>
          <w:b/>
          <w:bCs/>
        </w:rPr>
        <w:fldChar w:fldCharType="end"/>
      </w:r>
      <w:r w:rsidR="00BE35F7" w:rsidRPr="0021413F">
        <w:rPr>
          <w:b/>
          <w:bCs/>
        </w:rPr>
        <w:t>).</w:t>
      </w:r>
    </w:p>
    <w:bookmarkEnd w:id="17"/>
    <w:p w14:paraId="4D4CECE9" w14:textId="77777777" w:rsidR="00277AE3" w:rsidRPr="004757F8" w:rsidRDefault="00277AE3" w:rsidP="004757F8"/>
    <w:p w14:paraId="49C306D7" w14:textId="3FC60CB0" w:rsidR="00F61C45" w:rsidRDefault="00F61C45" w:rsidP="00F61C45">
      <w:pPr>
        <w:pStyle w:val="Heading2"/>
      </w:pPr>
      <w:bookmarkStart w:id="18" w:name="_Toc136889955"/>
      <w:r>
        <w:t>Special Considerations</w:t>
      </w:r>
      <w:bookmarkEnd w:id="18"/>
    </w:p>
    <w:p w14:paraId="786A5A4C" w14:textId="72049F55" w:rsidR="00063F39" w:rsidRPr="00063F39" w:rsidRDefault="00063F39" w:rsidP="00063F39">
      <w:pPr>
        <w:pStyle w:val="Heading3"/>
        <w:rPr>
          <w:rStyle w:val="Strong"/>
          <w:bCs w:val="0"/>
          <w:color w:val="80865A" w:themeColor="accent3" w:themeShade="BF"/>
          <w:u w:val="none"/>
        </w:rPr>
      </w:pPr>
      <w:bookmarkStart w:id="19" w:name="_Toc136889956"/>
      <w:r w:rsidRPr="00063F39">
        <w:rPr>
          <w:rStyle w:val="Strong"/>
          <w:bCs w:val="0"/>
          <w:color w:val="80865A" w:themeColor="accent3" w:themeShade="BF"/>
          <w:u w:val="none"/>
        </w:rPr>
        <w:t>Behavioral Health</w:t>
      </w:r>
      <w:bookmarkEnd w:id="19"/>
    </w:p>
    <w:p w14:paraId="2B83A7C6" w14:textId="62B86D72" w:rsidR="004757F8" w:rsidRDefault="0030772E" w:rsidP="00063F39">
      <w:r>
        <w:t>As with any traumatic event, burn patients require the support of behavioral health professionals throughout their care.  Behavioral health support should be available for the families of the patient as well as to the staff providing care.</w:t>
      </w:r>
      <w:r w:rsidR="00063F39">
        <w:t xml:space="preserve">  </w:t>
      </w:r>
    </w:p>
    <w:p w14:paraId="584B8973" w14:textId="2AA16B8C" w:rsidR="00063F39" w:rsidRPr="00063F39" w:rsidRDefault="00063F39" w:rsidP="00063F39">
      <w:pPr>
        <w:pStyle w:val="Heading3"/>
        <w:rPr>
          <w:rStyle w:val="Strong"/>
          <w:bCs w:val="0"/>
          <w:color w:val="80865A" w:themeColor="accent3" w:themeShade="BF"/>
          <w:u w:val="none"/>
        </w:rPr>
      </w:pPr>
      <w:bookmarkStart w:id="20" w:name="_Toc136889957"/>
      <w:r w:rsidRPr="00063F39">
        <w:rPr>
          <w:rStyle w:val="Strong"/>
          <w:bCs w:val="0"/>
          <w:color w:val="80865A" w:themeColor="accent3" w:themeShade="BF"/>
          <w:u w:val="none"/>
        </w:rPr>
        <w:lastRenderedPageBreak/>
        <w:t>Pediatric burn patients</w:t>
      </w:r>
      <w:bookmarkEnd w:id="20"/>
    </w:p>
    <w:p w14:paraId="0DA79DD3" w14:textId="2EA98F63" w:rsidR="00063F39" w:rsidRPr="00063F39" w:rsidRDefault="00063F39" w:rsidP="00063F39">
      <w:pPr>
        <w:rPr>
          <w:rStyle w:val="Strong"/>
          <w:color w:val="auto"/>
          <w:u w:val="none"/>
        </w:rPr>
      </w:pPr>
      <w:r w:rsidRPr="00063F39">
        <w:rPr>
          <w:rStyle w:val="Strong"/>
          <w:color w:val="auto"/>
          <w:u w:val="none"/>
        </w:rPr>
        <w:t>Pediatric burn patients requir</w:t>
      </w:r>
      <w:r>
        <w:rPr>
          <w:rStyle w:val="Strong"/>
          <w:color w:val="auto"/>
          <w:u w:val="none"/>
        </w:rPr>
        <w:t xml:space="preserve">e specific considerations related to their treatment and recovery.  Refer to the </w:t>
      </w:r>
      <w:hyperlink r:id="rId19" w:history="1">
        <w:r w:rsidRPr="0021413F">
          <w:rPr>
            <w:rStyle w:val="Hyperlink"/>
            <w:b/>
            <w:bCs/>
            <w:color w:val="7C5F1D" w:themeColor="accent4" w:themeShade="80"/>
          </w:rPr>
          <w:t>Minnesota Department of Health Pediatric Surge Toolkit</w:t>
        </w:r>
      </w:hyperlink>
      <w:r w:rsidRPr="0021413F">
        <w:rPr>
          <w:rStyle w:val="Strong"/>
          <w:color w:val="7C5F1D" w:themeColor="accent4" w:themeShade="80"/>
          <w:u w:val="none"/>
        </w:rPr>
        <w:t xml:space="preserve"> </w:t>
      </w:r>
    </w:p>
    <w:p w14:paraId="5D94B44F" w14:textId="06CBAFA7" w:rsidR="00F61C45" w:rsidRDefault="00F61C45" w:rsidP="00F61C45">
      <w:pPr>
        <w:pStyle w:val="Heading3"/>
      </w:pPr>
      <w:bookmarkStart w:id="21" w:name="_Toc136889958"/>
      <w:r>
        <w:t>Combined Injury</w:t>
      </w:r>
      <w:bookmarkEnd w:id="21"/>
    </w:p>
    <w:p w14:paraId="3E8A576C" w14:textId="7DE11AC2" w:rsidR="00277AE3" w:rsidRPr="0021413F" w:rsidRDefault="00063F39">
      <w:pPr>
        <w:rPr>
          <w:b/>
          <w:bCs/>
          <w:color w:val="7C5F1D" w:themeColor="accent4" w:themeShade="80"/>
        </w:rPr>
      </w:pPr>
      <w:r>
        <w:t xml:space="preserve">Combined injury </w:t>
      </w:r>
      <w:r w:rsidR="00277AE3">
        <w:t xml:space="preserve">(burns with trauma or other injuries) increases mortality.  These patients are often better treated at a trauma center.  Initial triage by EMS should focus on the traditional trauma guidelines then address the burn injury.  Refer to </w:t>
      </w:r>
      <w:hyperlink r:id="rId20" w:history="1">
        <w:r w:rsidR="00277AE3" w:rsidRPr="0021413F">
          <w:rPr>
            <w:rStyle w:val="Hyperlink"/>
            <w:b/>
            <w:bCs/>
            <w:color w:val="7C5F1D" w:themeColor="accent4" w:themeShade="80"/>
          </w:rPr>
          <w:t>Guidelines for Burn Care Under Austere Conditions.</w:t>
        </w:r>
      </w:hyperlink>
    </w:p>
    <w:p w14:paraId="18CDF3D5" w14:textId="5993FBA5" w:rsidR="00F61C45" w:rsidRDefault="00F61C45" w:rsidP="00F61C45">
      <w:pPr>
        <w:pStyle w:val="Heading2"/>
      </w:pPr>
      <w:bookmarkStart w:id="22" w:name="_Toc136889959"/>
      <w:r>
        <w:t>Operations</w:t>
      </w:r>
      <w:bookmarkEnd w:id="22"/>
    </w:p>
    <w:p w14:paraId="1D29D630" w14:textId="6FD53BF4" w:rsidR="00F61C45" w:rsidRDefault="00F61C45" w:rsidP="00F61C45">
      <w:pPr>
        <w:pStyle w:val="Heading3"/>
      </w:pPr>
      <w:bookmarkStart w:id="23" w:name="_Toc136889960"/>
      <w:r>
        <w:t>Triage</w:t>
      </w:r>
      <w:bookmarkEnd w:id="23"/>
    </w:p>
    <w:p w14:paraId="6269FE45" w14:textId="3301464B" w:rsidR="00277AE3" w:rsidRDefault="00277AE3" w:rsidP="00277AE3">
      <w:r>
        <w:t xml:space="preserve">The initial triage of a burn patient happens on scene by Emergency Medical Services.  EMS agencies should have a triage plan in place.  </w:t>
      </w:r>
      <w:hyperlink r:id="rId21" w:history="1">
        <w:r w:rsidRPr="0021413F">
          <w:rPr>
            <w:rStyle w:val="Hyperlink"/>
            <w:b/>
            <w:bCs/>
            <w:color w:val="7C5F1D" w:themeColor="accent4" w:themeShade="80"/>
          </w:rPr>
          <w:t>Refer to the EMS Triage and Destination Plan</w:t>
        </w:r>
        <w:r w:rsidRPr="0021413F">
          <w:rPr>
            <w:rStyle w:val="Hyperlink"/>
            <w:color w:val="7C5F1D" w:themeColor="accent4" w:themeShade="80"/>
          </w:rPr>
          <w:t>.</w:t>
        </w:r>
      </w:hyperlink>
    </w:p>
    <w:p w14:paraId="52F279C5" w14:textId="2BABFBE9" w:rsidR="00277AE3" w:rsidRPr="00277AE3" w:rsidRDefault="00277AE3" w:rsidP="00277AE3">
      <w:r>
        <w:t>When the burn patient is brought to a health care facility – the facility will contact the burn center to discuss treatment needs and identify the appropriate care facility.</w:t>
      </w:r>
    </w:p>
    <w:p w14:paraId="1CD5B122" w14:textId="0E76880E" w:rsidR="00F61C45" w:rsidRDefault="00F61C45" w:rsidP="00F61C45">
      <w:pPr>
        <w:pStyle w:val="Heading3"/>
      </w:pPr>
      <w:bookmarkStart w:id="24" w:name="_Toc136889961"/>
      <w:r>
        <w:t>Treatment</w:t>
      </w:r>
      <w:bookmarkEnd w:id="24"/>
    </w:p>
    <w:p w14:paraId="744E4126" w14:textId="1435E978" w:rsidR="00495B5F" w:rsidRPr="00495B5F" w:rsidRDefault="00495B5F" w:rsidP="00495B5F">
      <w:r>
        <w:t xml:space="preserve">The </w:t>
      </w:r>
      <w:hyperlink r:id="rId22" w:history="1">
        <w:r w:rsidRPr="0021413F">
          <w:rPr>
            <w:rStyle w:val="Hyperlink"/>
            <w:b/>
            <w:bCs/>
            <w:color w:val="7C5F1D" w:themeColor="accent4" w:themeShade="80"/>
          </w:rPr>
          <w:t>Minnesota Burn Surge</w:t>
        </w:r>
      </w:hyperlink>
      <w:r w:rsidRPr="0021413F">
        <w:rPr>
          <w:b/>
          <w:bCs/>
          <w:color w:val="7C5F1D" w:themeColor="accent4" w:themeShade="80"/>
        </w:rPr>
        <w:t xml:space="preserve"> </w:t>
      </w:r>
      <w:r>
        <w:t>site has two resources that discuss the recommendations for treatment.  Health care facilities should familiarize themselves with these resources.</w:t>
      </w:r>
    </w:p>
    <w:p w14:paraId="35FBCE7A" w14:textId="21792563" w:rsidR="00F61C45" w:rsidRDefault="00F61C45" w:rsidP="00F61C45">
      <w:pPr>
        <w:pStyle w:val="Heading2"/>
      </w:pPr>
      <w:bookmarkStart w:id="25" w:name="_Toc136889962"/>
      <w:r>
        <w:t>Transportation</w:t>
      </w:r>
      <w:bookmarkEnd w:id="25"/>
    </w:p>
    <w:p w14:paraId="3F9C1B1C" w14:textId="23828009" w:rsidR="00495B5F" w:rsidRPr="00495B5F" w:rsidRDefault="00C63795" w:rsidP="00495B5F">
      <w:hyperlink r:id="rId23" w:history="1">
        <w:r w:rsidR="00495B5F" w:rsidRPr="0021413F">
          <w:rPr>
            <w:rStyle w:val="Hyperlink"/>
            <w:b/>
            <w:bCs/>
            <w:color w:val="7C5F1D" w:themeColor="accent4" w:themeShade="80"/>
          </w:rPr>
          <w:t>The Minnesota Burn Surge Plan – Appendix B</w:t>
        </w:r>
      </w:hyperlink>
      <w:r w:rsidR="00495B5F">
        <w:t xml:space="preserve"> identifies the breakdown of resources available statewide for burn transport.  The hospital will determine and coordinate the appropriate transportation to a higher level of care.  This determination will include a conversation with the Burn Center to identify the appropriate transport resource.</w:t>
      </w:r>
    </w:p>
    <w:p w14:paraId="6CF15B16" w14:textId="734A6274" w:rsidR="00F61C45" w:rsidRDefault="00F61C45" w:rsidP="00F61C45">
      <w:pPr>
        <w:pStyle w:val="Heading2"/>
      </w:pPr>
      <w:bookmarkStart w:id="26" w:name="_Toc136889963"/>
      <w:r>
        <w:t>Patient Tracking</w:t>
      </w:r>
      <w:bookmarkEnd w:id="26"/>
    </w:p>
    <w:p w14:paraId="07AFEF62" w14:textId="3BA4878B" w:rsidR="00495B5F" w:rsidRPr="00495B5F" w:rsidRDefault="00495B5F" w:rsidP="00495B5F">
      <w:r>
        <w:t>Refer to the WCMHPC Response plan - Appendix 3.5.2 Regional Patient Tracking Plan.</w:t>
      </w:r>
    </w:p>
    <w:p w14:paraId="14F4879D" w14:textId="31F0BF1B" w:rsidR="00F61C45" w:rsidRDefault="00F61C45" w:rsidP="00F61C45">
      <w:pPr>
        <w:pStyle w:val="Heading2"/>
      </w:pPr>
      <w:bookmarkStart w:id="27" w:name="_Toc136889964"/>
      <w:r>
        <w:t>Rehabilitation and outpatient follow up</w:t>
      </w:r>
      <w:bookmarkEnd w:id="27"/>
    </w:p>
    <w:p w14:paraId="7BE03FF4" w14:textId="17981235" w:rsidR="00495B5F" w:rsidRPr="00495B5F" w:rsidRDefault="00495B5F" w:rsidP="00495B5F">
      <w:r>
        <w:t xml:space="preserve">Burn rehabilitation and follow up is extensive and is typically offered by the Burn Centers.  Several </w:t>
      </w:r>
      <w:r w:rsidR="00EF1E13">
        <w:t xml:space="preserve">regional </w:t>
      </w:r>
      <w:r>
        <w:t>hospitals offer Wound Care nursing services</w:t>
      </w:r>
      <w:r w:rsidR="00EF1E13">
        <w:t xml:space="preserve"> that may be able to support the rehabilitation of a burn patient.</w:t>
      </w:r>
    </w:p>
    <w:p w14:paraId="1CB3A3CB" w14:textId="77777777" w:rsidR="00CE0523" w:rsidRPr="007E5787" w:rsidRDefault="00CE0523" w:rsidP="00133A04">
      <w:pPr>
        <w:spacing w:after="0" w:line="276" w:lineRule="auto"/>
        <w:rPr>
          <w:rFonts w:eastAsia="Times New Roman" w:cstheme="minorHAnsi"/>
          <w:szCs w:val="24"/>
        </w:rPr>
      </w:pPr>
    </w:p>
    <w:p w14:paraId="726A748B" w14:textId="3F8C35D6" w:rsidR="00CB6975" w:rsidRDefault="00C527F9" w:rsidP="00F61C45">
      <w:pPr>
        <w:pStyle w:val="Heading1"/>
      </w:pPr>
      <w:bookmarkStart w:id="28" w:name="_Toc136889965"/>
      <w:r w:rsidRPr="00F61C45">
        <w:t>Appendices/references</w:t>
      </w:r>
      <w:bookmarkEnd w:id="28"/>
    </w:p>
    <w:p w14:paraId="0ABF6E67" w14:textId="77777777" w:rsidR="00F61C45" w:rsidRPr="007E5787" w:rsidRDefault="00F61C45" w:rsidP="00F61C45">
      <w:pPr>
        <w:pStyle w:val="Heading2"/>
        <w:spacing w:after="0" w:line="276" w:lineRule="auto"/>
        <w:rPr>
          <w:rFonts w:eastAsia="Times New Roman"/>
          <w:b/>
          <w:bCs/>
        </w:rPr>
      </w:pPr>
      <w:bookmarkStart w:id="29" w:name="_Toc136889966"/>
      <w:r w:rsidRPr="007E5787">
        <w:t>Training and Exercise</w:t>
      </w:r>
      <w:r w:rsidRPr="007E5787">
        <w:rPr>
          <w:spacing w:val="-13"/>
        </w:rPr>
        <w:t xml:space="preserve"> </w:t>
      </w:r>
      <w:r w:rsidRPr="007E5787">
        <w:t>Recommendations</w:t>
      </w:r>
      <w:bookmarkEnd w:id="29"/>
    </w:p>
    <w:p w14:paraId="5BE9BE2C" w14:textId="23035582" w:rsidR="00047740" w:rsidRPr="00047740" w:rsidRDefault="00F61C45" w:rsidP="00B011BF">
      <w:pPr>
        <w:pStyle w:val="ListParagraph"/>
        <w:numPr>
          <w:ilvl w:val="0"/>
          <w:numId w:val="24"/>
        </w:numPr>
        <w:spacing w:line="276" w:lineRule="auto"/>
        <w:rPr>
          <w:rFonts w:eastAsia="Times New Roman"/>
          <w:sz w:val="24"/>
          <w:szCs w:val="24"/>
        </w:rPr>
      </w:pPr>
      <w:r w:rsidRPr="00495B5F">
        <w:rPr>
          <w:sz w:val="24"/>
          <w:szCs w:val="24"/>
        </w:rPr>
        <w:t xml:space="preserve">It is important that first responders, EMS personnel, and first receiving hospitals have appropriate education and training to increase their knowledge, skills and abilities for the initial treatment and supportive care for the burn-injured patients. The WCMHPC will make all attempts to assist in coordinating training opportunities. Each hospital within the </w:t>
      </w:r>
      <w:r w:rsidRPr="00495B5F">
        <w:rPr>
          <w:sz w:val="24"/>
          <w:szCs w:val="24"/>
        </w:rPr>
        <w:lastRenderedPageBreak/>
        <w:t xml:space="preserve">West Central coalition </w:t>
      </w:r>
      <w:r w:rsidR="0021413F">
        <w:rPr>
          <w:sz w:val="24"/>
          <w:szCs w:val="24"/>
        </w:rPr>
        <w:t xml:space="preserve">was </w:t>
      </w:r>
      <w:r w:rsidRPr="00495B5F">
        <w:rPr>
          <w:sz w:val="24"/>
          <w:szCs w:val="24"/>
        </w:rPr>
        <w:t>provided with one Advanced Burn Life Support (ABLS) Handbook. All efforts to facilitate or notify facilities of training opportunities will be provided by the</w:t>
      </w:r>
      <w:r w:rsidRPr="00495B5F">
        <w:rPr>
          <w:spacing w:val="-13"/>
          <w:sz w:val="24"/>
          <w:szCs w:val="24"/>
        </w:rPr>
        <w:t xml:space="preserve"> </w:t>
      </w:r>
      <w:r w:rsidRPr="00495B5F">
        <w:rPr>
          <w:sz w:val="24"/>
          <w:szCs w:val="24"/>
        </w:rPr>
        <w:t>RHPCs.</w:t>
      </w:r>
    </w:p>
    <w:p w14:paraId="70F6BF9E" w14:textId="77777777" w:rsidR="005E728D" w:rsidRPr="005E728D" w:rsidRDefault="00047740" w:rsidP="00B011BF">
      <w:pPr>
        <w:pStyle w:val="ListParagraph"/>
        <w:numPr>
          <w:ilvl w:val="0"/>
          <w:numId w:val="24"/>
        </w:numPr>
        <w:spacing w:line="276" w:lineRule="auto"/>
        <w:rPr>
          <w:rFonts w:eastAsia="Times New Roman"/>
          <w:sz w:val="24"/>
          <w:szCs w:val="24"/>
        </w:rPr>
      </w:pPr>
      <w:r>
        <w:rPr>
          <w:sz w:val="24"/>
          <w:szCs w:val="24"/>
        </w:rPr>
        <w:t xml:space="preserve">All </w:t>
      </w:r>
      <w:r w:rsidR="005E728D">
        <w:rPr>
          <w:sz w:val="24"/>
          <w:szCs w:val="24"/>
        </w:rPr>
        <w:t>providers are provided links to the Educational Curriculum for Medical Providers Responding to a Mass Casualty Burn Surge Incident:</w:t>
      </w:r>
    </w:p>
    <w:p w14:paraId="6CFB1C1D" w14:textId="7F624DB6" w:rsidR="00F61C45" w:rsidRPr="0021413F" w:rsidRDefault="00C63795" w:rsidP="005E728D">
      <w:pPr>
        <w:pStyle w:val="ListParagraph"/>
        <w:numPr>
          <w:ilvl w:val="1"/>
          <w:numId w:val="24"/>
        </w:numPr>
        <w:spacing w:line="276" w:lineRule="auto"/>
        <w:rPr>
          <w:rFonts w:eastAsia="Times New Roman"/>
          <w:b/>
          <w:bCs/>
          <w:color w:val="7C5F1D" w:themeColor="accent4" w:themeShade="80"/>
          <w:sz w:val="24"/>
          <w:szCs w:val="24"/>
        </w:rPr>
      </w:pPr>
      <w:hyperlink r:id="rId24" w:history="1">
        <w:r w:rsidR="005E728D" w:rsidRPr="0021413F">
          <w:rPr>
            <w:rStyle w:val="Hyperlink"/>
            <w:rFonts w:eastAsia="Times New Roman"/>
            <w:b/>
            <w:bCs/>
            <w:color w:val="7C5F1D" w:themeColor="accent4" w:themeShade="80"/>
            <w:sz w:val="24"/>
            <w:szCs w:val="24"/>
          </w:rPr>
          <w:t>Burn Surge Videos</w:t>
        </w:r>
      </w:hyperlink>
    </w:p>
    <w:p w14:paraId="794C2AC9" w14:textId="64CE000D" w:rsidR="005E728D" w:rsidRPr="0021413F" w:rsidRDefault="00C63795" w:rsidP="005E728D">
      <w:pPr>
        <w:pStyle w:val="ListParagraph"/>
        <w:numPr>
          <w:ilvl w:val="1"/>
          <w:numId w:val="24"/>
        </w:numPr>
        <w:spacing w:line="276" w:lineRule="auto"/>
        <w:rPr>
          <w:rFonts w:eastAsia="Times New Roman"/>
          <w:b/>
          <w:bCs/>
          <w:color w:val="7C5F1D" w:themeColor="accent4" w:themeShade="80"/>
          <w:sz w:val="24"/>
          <w:szCs w:val="24"/>
        </w:rPr>
      </w:pPr>
      <w:hyperlink r:id="rId25" w:history="1">
        <w:r w:rsidR="005E728D" w:rsidRPr="0021413F">
          <w:rPr>
            <w:rStyle w:val="Hyperlink"/>
            <w:rFonts w:eastAsia="Times New Roman"/>
            <w:b/>
            <w:bCs/>
            <w:color w:val="7C5F1D" w:themeColor="accent4" w:themeShade="80"/>
            <w:sz w:val="24"/>
            <w:szCs w:val="24"/>
          </w:rPr>
          <w:t>Determining Burn Depth</w:t>
        </w:r>
      </w:hyperlink>
    </w:p>
    <w:p w14:paraId="4DE4D0C2" w14:textId="79AFAA71" w:rsidR="005E728D" w:rsidRPr="0021413F" w:rsidRDefault="00C63795" w:rsidP="005E728D">
      <w:pPr>
        <w:pStyle w:val="ListParagraph"/>
        <w:numPr>
          <w:ilvl w:val="1"/>
          <w:numId w:val="24"/>
        </w:numPr>
        <w:spacing w:line="276" w:lineRule="auto"/>
        <w:rPr>
          <w:rFonts w:eastAsia="Times New Roman"/>
          <w:b/>
          <w:bCs/>
          <w:color w:val="7C5F1D" w:themeColor="accent4" w:themeShade="80"/>
          <w:sz w:val="24"/>
          <w:szCs w:val="24"/>
        </w:rPr>
      </w:pPr>
      <w:hyperlink r:id="rId26" w:history="1">
        <w:r w:rsidR="005E728D" w:rsidRPr="0021413F">
          <w:rPr>
            <w:rStyle w:val="Hyperlink"/>
            <w:rFonts w:eastAsia="Times New Roman"/>
            <w:b/>
            <w:bCs/>
            <w:color w:val="7C5F1D" w:themeColor="accent4" w:themeShade="80"/>
            <w:sz w:val="24"/>
            <w:szCs w:val="24"/>
          </w:rPr>
          <w:t>Determining Total Body Surface Area</w:t>
        </w:r>
      </w:hyperlink>
    </w:p>
    <w:p w14:paraId="02EBE1E3" w14:textId="3FCC8414" w:rsidR="005E728D" w:rsidRPr="0021413F" w:rsidRDefault="00C63795" w:rsidP="00BE35F7">
      <w:pPr>
        <w:pStyle w:val="ListParagraph"/>
        <w:numPr>
          <w:ilvl w:val="1"/>
          <w:numId w:val="24"/>
        </w:numPr>
        <w:spacing w:line="276" w:lineRule="auto"/>
        <w:rPr>
          <w:rFonts w:eastAsia="Times New Roman"/>
          <w:color w:val="7C5F1D" w:themeColor="accent4" w:themeShade="80"/>
          <w:szCs w:val="24"/>
        </w:rPr>
      </w:pPr>
      <w:hyperlink r:id="rId27" w:history="1">
        <w:r w:rsidR="005E728D" w:rsidRPr="0021413F">
          <w:rPr>
            <w:rStyle w:val="Hyperlink"/>
            <w:rFonts w:eastAsia="Times New Roman"/>
            <w:b/>
            <w:bCs/>
            <w:color w:val="7C5F1D" w:themeColor="accent4" w:themeShade="80"/>
            <w:sz w:val="24"/>
            <w:szCs w:val="24"/>
          </w:rPr>
          <w:t>Burn Triage</w:t>
        </w:r>
      </w:hyperlink>
    </w:p>
    <w:p w14:paraId="00FA26D1" w14:textId="763BC61D" w:rsidR="00F61C45" w:rsidRPr="0021413F" w:rsidRDefault="00B011BF" w:rsidP="00B011BF">
      <w:pPr>
        <w:pStyle w:val="Heading2"/>
        <w:rPr>
          <w:b/>
          <w:bCs/>
        </w:rPr>
      </w:pPr>
      <w:bookmarkStart w:id="30" w:name="_Toc136889967"/>
      <w:r>
        <w:t>References/Links</w:t>
      </w:r>
      <w:bookmarkEnd w:id="30"/>
    </w:p>
    <w:p w14:paraId="09228EAE" w14:textId="6AD322DE" w:rsidR="009859EE" w:rsidRDefault="00C63795" w:rsidP="00133A04">
      <w:pPr>
        <w:spacing w:after="0" w:line="276" w:lineRule="auto"/>
        <w:rPr>
          <w:rStyle w:val="Hyperlink"/>
          <w:b/>
          <w:bCs/>
          <w:color w:val="7C5F1D" w:themeColor="accent4" w:themeShade="80"/>
        </w:rPr>
      </w:pPr>
      <w:hyperlink r:id="rId28" w:history="1">
        <w:r w:rsidR="00B011BF" w:rsidRPr="0021413F">
          <w:rPr>
            <w:rStyle w:val="Hyperlink"/>
            <w:b/>
            <w:bCs/>
            <w:color w:val="7C5F1D" w:themeColor="accent4" w:themeShade="80"/>
          </w:rPr>
          <w:t>Minnesota Department of Health - Minnesota Burn Surge - State plan and references</w:t>
        </w:r>
      </w:hyperlink>
    </w:p>
    <w:p w14:paraId="149839DD" w14:textId="77777777" w:rsidR="00A03FCB" w:rsidRDefault="00A03FCB" w:rsidP="00133A04">
      <w:pPr>
        <w:spacing w:after="0" w:line="276" w:lineRule="auto"/>
        <w:rPr>
          <w:rStyle w:val="Hyperlink"/>
          <w:b/>
          <w:bCs/>
          <w:color w:val="7C5F1D" w:themeColor="accent4" w:themeShade="80"/>
        </w:rPr>
      </w:pPr>
    </w:p>
    <w:p w14:paraId="5D0431C9" w14:textId="77777777" w:rsidR="00A03FCB" w:rsidRDefault="00A03FCB" w:rsidP="00133A04">
      <w:pPr>
        <w:spacing w:after="0" w:line="276" w:lineRule="auto"/>
        <w:rPr>
          <w:rStyle w:val="Hyperlink"/>
          <w:b/>
          <w:bCs/>
          <w:color w:val="7C5F1D" w:themeColor="accent4" w:themeShade="80"/>
        </w:rPr>
      </w:pPr>
    </w:p>
    <w:p w14:paraId="0C617FF5" w14:textId="77777777" w:rsidR="00A03FCB" w:rsidRDefault="00A03FCB" w:rsidP="00133A04">
      <w:pPr>
        <w:spacing w:after="0" w:line="276" w:lineRule="auto"/>
        <w:rPr>
          <w:rStyle w:val="Hyperlink"/>
          <w:b/>
          <w:bCs/>
          <w:color w:val="7C5F1D" w:themeColor="accent4" w:themeShade="80"/>
        </w:rPr>
      </w:pPr>
    </w:p>
    <w:p w14:paraId="615977EB" w14:textId="77777777" w:rsidR="00A03FCB" w:rsidRPr="00A03FCB" w:rsidRDefault="00A03FCB" w:rsidP="00A03FCB">
      <w:pPr>
        <w:keepNext/>
        <w:keepLines/>
        <w:pBdr>
          <w:top w:val="single" w:sz="4" w:space="1" w:color="A9C496"/>
        </w:pBdr>
        <w:spacing w:before="360" w:line="360" w:lineRule="auto"/>
        <w:ind w:left="0"/>
        <w:outlineLvl w:val="1"/>
        <w:rPr>
          <w:rFonts w:ascii="Calibri" w:eastAsia="Times New Roman" w:hAnsi="Calibri" w:cs="Times New Roman"/>
          <w:b/>
          <w:bCs/>
          <w:caps/>
          <w:color w:val="A9C496"/>
          <w:spacing w:val="20"/>
          <w:sz w:val="28"/>
          <w:szCs w:val="24"/>
        </w:rPr>
      </w:pPr>
      <w:bookmarkStart w:id="31" w:name="_Toc136889968"/>
      <w:r w:rsidRPr="00A03FCB">
        <w:rPr>
          <w:rFonts w:ascii="Calibri" w:eastAsia="Times New Roman" w:hAnsi="Calibri" w:cs="Times New Roman"/>
          <w:b/>
          <w:bCs/>
          <w:caps/>
          <w:color w:val="A9C496"/>
          <w:spacing w:val="20"/>
          <w:szCs w:val="24"/>
        </w:rPr>
        <w:t>Approvals and Revisions</w:t>
      </w:r>
      <w:bookmarkEnd w:id="31"/>
    </w:p>
    <w:tbl>
      <w:tblPr>
        <w:tblStyle w:val="TableGrid"/>
        <w:tblW w:w="10128" w:type="dxa"/>
        <w:tblLook w:val="04A0" w:firstRow="1" w:lastRow="0" w:firstColumn="1" w:lastColumn="0" w:noHBand="0" w:noVBand="1"/>
      </w:tblPr>
      <w:tblGrid>
        <w:gridCol w:w="5072"/>
        <w:gridCol w:w="5056"/>
      </w:tblGrid>
      <w:tr w:rsidR="00A03FCB" w:rsidRPr="00A03FCB" w14:paraId="57B4E0B1" w14:textId="77777777" w:rsidTr="00626921">
        <w:trPr>
          <w:trHeight w:val="635"/>
        </w:trPr>
        <w:tc>
          <w:tcPr>
            <w:tcW w:w="5072" w:type="dxa"/>
            <w:tcBorders>
              <w:top w:val="single" w:sz="4" w:space="0" w:color="auto"/>
              <w:left w:val="single" w:sz="4" w:space="0" w:color="auto"/>
              <w:bottom w:val="single" w:sz="4" w:space="0" w:color="auto"/>
              <w:right w:val="single" w:sz="4" w:space="0" w:color="auto"/>
            </w:tcBorders>
            <w:hideMark/>
          </w:tcPr>
          <w:p w14:paraId="405A4B3D" w14:textId="77777777" w:rsidR="00A03FCB" w:rsidRPr="00A03FCB" w:rsidRDefault="00A03FCB" w:rsidP="00A03FCB">
            <w:pPr>
              <w:ind w:left="0"/>
              <w:jc w:val="center"/>
              <w:rPr>
                <w:rFonts w:ascii="Calibri" w:eastAsia="Times New Roman" w:hAnsi="Calibri" w:cs="Times New Roman"/>
                <w:b/>
              </w:rPr>
            </w:pPr>
            <w:r w:rsidRPr="00A03FCB">
              <w:rPr>
                <w:rFonts w:ascii="Calibri" w:eastAsia="Times New Roman" w:hAnsi="Calibri" w:cs="Times New Roman"/>
                <w:b/>
              </w:rPr>
              <w:t>Purpose</w:t>
            </w:r>
          </w:p>
        </w:tc>
        <w:tc>
          <w:tcPr>
            <w:tcW w:w="5056" w:type="dxa"/>
            <w:tcBorders>
              <w:top w:val="single" w:sz="4" w:space="0" w:color="auto"/>
              <w:left w:val="single" w:sz="4" w:space="0" w:color="auto"/>
              <w:bottom w:val="single" w:sz="4" w:space="0" w:color="auto"/>
              <w:right w:val="single" w:sz="4" w:space="0" w:color="auto"/>
            </w:tcBorders>
            <w:hideMark/>
          </w:tcPr>
          <w:p w14:paraId="630526F8" w14:textId="77777777" w:rsidR="00A03FCB" w:rsidRPr="00A03FCB" w:rsidRDefault="00A03FCB" w:rsidP="00A03FCB">
            <w:pPr>
              <w:ind w:left="0"/>
              <w:jc w:val="center"/>
              <w:rPr>
                <w:rFonts w:ascii="Calibri" w:eastAsia="Times New Roman" w:hAnsi="Calibri" w:cs="Times New Roman"/>
                <w:b/>
              </w:rPr>
            </w:pPr>
            <w:r w:rsidRPr="00A03FCB">
              <w:rPr>
                <w:rFonts w:ascii="Calibri" w:eastAsia="Times New Roman" w:hAnsi="Calibri" w:cs="Times New Roman"/>
                <w:b/>
              </w:rPr>
              <w:t>Date</w:t>
            </w:r>
          </w:p>
        </w:tc>
      </w:tr>
      <w:tr w:rsidR="00A03FCB" w:rsidRPr="00A03FCB" w14:paraId="166EC537"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hideMark/>
          </w:tcPr>
          <w:p w14:paraId="511CD605" w14:textId="1661496D" w:rsidR="00A03FCB" w:rsidRPr="00A03FCB" w:rsidRDefault="00A03FCB" w:rsidP="00A03FCB">
            <w:pPr>
              <w:ind w:left="0"/>
              <w:rPr>
                <w:rFonts w:ascii="Calibri" w:eastAsia="Times New Roman" w:hAnsi="Calibri" w:cs="Times New Roman"/>
              </w:rPr>
            </w:pPr>
            <w:r w:rsidRPr="00A03FCB">
              <w:rPr>
                <w:rFonts w:ascii="Calibri" w:eastAsia="Times New Roman" w:hAnsi="Calibri" w:cs="Times New Roman"/>
              </w:rPr>
              <w:t>Updated to correct grammar</w:t>
            </w:r>
            <w:r>
              <w:rPr>
                <w:rFonts w:ascii="Calibri" w:eastAsia="Times New Roman" w:hAnsi="Calibri" w:cs="Times New Roman"/>
              </w:rPr>
              <w:t xml:space="preserve">, update </w:t>
            </w:r>
            <w:proofErr w:type="gramStart"/>
            <w:r>
              <w:rPr>
                <w:rFonts w:ascii="Calibri" w:eastAsia="Times New Roman" w:hAnsi="Calibri" w:cs="Times New Roman"/>
              </w:rPr>
              <w:t>links</w:t>
            </w:r>
            <w:proofErr w:type="gramEnd"/>
            <w:r w:rsidR="00DB3080">
              <w:rPr>
                <w:rFonts w:ascii="Calibri" w:eastAsia="Times New Roman" w:hAnsi="Calibri" w:cs="Times New Roman"/>
              </w:rPr>
              <w:t xml:space="preserve"> and remove Glacial Ridge burn surgeon notes</w:t>
            </w:r>
          </w:p>
        </w:tc>
        <w:tc>
          <w:tcPr>
            <w:tcW w:w="5056" w:type="dxa"/>
            <w:tcBorders>
              <w:top w:val="single" w:sz="4" w:space="0" w:color="auto"/>
              <w:left w:val="single" w:sz="4" w:space="0" w:color="auto"/>
              <w:bottom w:val="single" w:sz="4" w:space="0" w:color="auto"/>
              <w:right w:val="single" w:sz="4" w:space="0" w:color="auto"/>
            </w:tcBorders>
            <w:hideMark/>
          </w:tcPr>
          <w:p w14:paraId="5A4B50FC" w14:textId="77777777" w:rsidR="00A03FCB" w:rsidRPr="00A03FCB" w:rsidRDefault="00A03FCB" w:rsidP="00A03FCB">
            <w:pPr>
              <w:ind w:left="0"/>
              <w:rPr>
                <w:rFonts w:ascii="Calibri" w:eastAsia="Times New Roman" w:hAnsi="Calibri" w:cs="Times New Roman"/>
              </w:rPr>
            </w:pPr>
            <w:r w:rsidRPr="00A03FCB">
              <w:rPr>
                <w:rFonts w:ascii="Calibri" w:eastAsia="Times New Roman" w:hAnsi="Calibri" w:cs="Times New Roman"/>
              </w:rPr>
              <w:t>Emailed 3/11/2023 and approved by all 4/3/2023</w:t>
            </w:r>
          </w:p>
        </w:tc>
      </w:tr>
      <w:tr w:rsidR="00A03FCB" w:rsidRPr="00A03FCB" w14:paraId="63309703"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32909783" w14:textId="7F06EC51" w:rsidR="00A03FCB" w:rsidRPr="00A03FCB" w:rsidRDefault="00EF1E13" w:rsidP="00A03FCB">
            <w:pPr>
              <w:ind w:left="0"/>
              <w:rPr>
                <w:rFonts w:ascii="Calibri" w:eastAsia="Times New Roman" w:hAnsi="Calibri" w:cs="Times New Roman"/>
              </w:rPr>
            </w:pPr>
            <w:r>
              <w:rPr>
                <w:rFonts w:ascii="Calibri" w:eastAsia="Times New Roman" w:hAnsi="Calibri" w:cs="Times New Roman"/>
              </w:rPr>
              <w:t>Updated to correct links, include language regarding the RMOCC</w:t>
            </w:r>
          </w:p>
        </w:tc>
        <w:tc>
          <w:tcPr>
            <w:tcW w:w="5056" w:type="dxa"/>
            <w:tcBorders>
              <w:top w:val="single" w:sz="4" w:space="0" w:color="auto"/>
              <w:left w:val="single" w:sz="4" w:space="0" w:color="auto"/>
              <w:bottom w:val="single" w:sz="4" w:space="0" w:color="auto"/>
              <w:right w:val="single" w:sz="4" w:space="0" w:color="auto"/>
            </w:tcBorders>
          </w:tcPr>
          <w:p w14:paraId="70114FD5" w14:textId="19772554" w:rsidR="00A03FCB" w:rsidRPr="00A03FCB" w:rsidRDefault="00EF1E13" w:rsidP="00A03FCB">
            <w:pPr>
              <w:ind w:left="0"/>
              <w:rPr>
                <w:rFonts w:ascii="Calibri" w:eastAsia="Times New Roman" w:hAnsi="Calibri" w:cs="Times New Roman"/>
              </w:rPr>
            </w:pPr>
            <w:r>
              <w:rPr>
                <w:rFonts w:ascii="Calibri" w:eastAsia="Times New Roman" w:hAnsi="Calibri" w:cs="Times New Roman"/>
              </w:rPr>
              <w:t xml:space="preserve">Emailed May 31/2023 and approved by </w:t>
            </w:r>
            <w:proofErr w:type="gramStart"/>
            <w:r>
              <w:rPr>
                <w:rFonts w:ascii="Calibri" w:eastAsia="Times New Roman" w:hAnsi="Calibri" w:cs="Times New Roman"/>
              </w:rPr>
              <w:t>all  6</w:t>
            </w:r>
            <w:proofErr w:type="gramEnd"/>
            <w:r>
              <w:rPr>
                <w:rFonts w:ascii="Calibri" w:eastAsia="Times New Roman" w:hAnsi="Calibri" w:cs="Times New Roman"/>
              </w:rPr>
              <w:t>/15/2023</w:t>
            </w:r>
          </w:p>
        </w:tc>
      </w:tr>
      <w:tr w:rsidR="00A03FCB" w:rsidRPr="00A03FCB" w14:paraId="0244EBD1"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5A1E3903" w14:textId="77777777" w:rsidR="00A03FCB" w:rsidRPr="00A03FCB" w:rsidRDefault="00A03FCB" w:rsidP="00A03FCB">
            <w:pPr>
              <w:ind w:left="0"/>
              <w:rPr>
                <w:rFonts w:ascii="Calibri" w:eastAsia="Times New Roman" w:hAnsi="Calibri" w:cs="Times New Roman"/>
              </w:rPr>
            </w:pPr>
          </w:p>
        </w:tc>
        <w:tc>
          <w:tcPr>
            <w:tcW w:w="5056" w:type="dxa"/>
            <w:tcBorders>
              <w:top w:val="single" w:sz="4" w:space="0" w:color="auto"/>
              <w:left w:val="single" w:sz="4" w:space="0" w:color="auto"/>
              <w:bottom w:val="single" w:sz="4" w:space="0" w:color="auto"/>
              <w:right w:val="single" w:sz="4" w:space="0" w:color="auto"/>
            </w:tcBorders>
          </w:tcPr>
          <w:p w14:paraId="547E09A5" w14:textId="77777777" w:rsidR="00A03FCB" w:rsidRPr="00A03FCB" w:rsidRDefault="00A03FCB" w:rsidP="00A03FCB">
            <w:pPr>
              <w:ind w:left="0"/>
              <w:rPr>
                <w:rFonts w:ascii="Calibri" w:eastAsia="Times New Roman" w:hAnsi="Calibri" w:cs="Times New Roman"/>
              </w:rPr>
            </w:pPr>
          </w:p>
        </w:tc>
      </w:tr>
      <w:tr w:rsidR="00A03FCB" w:rsidRPr="00A03FCB" w14:paraId="7D716202"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2917617B" w14:textId="77777777" w:rsidR="00A03FCB" w:rsidRPr="00A03FCB" w:rsidRDefault="00A03FCB" w:rsidP="00A03FCB">
            <w:pPr>
              <w:ind w:left="0"/>
              <w:rPr>
                <w:rFonts w:ascii="Calibri" w:eastAsia="Times New Roman" w:hAnsi="Calibri" w:cs="Times New Roman"/>
              </w:rPr>
            </w:pPr>
          </w:p>
        </w:tc>
        <w:tc>
          <w:tcPr>
            <w:tcW w:w="5056" w:type="dxa"/>
            <w:tcBorders>
              <w:top w:val="single" w:sz="4" w:space="0" w:color="auto"/>
              <w:left w:val="single" w:sz="4" w:space="0" w:color="auto"/>
              <w:bottom w:val="single" w:sz="4" w:space="0" w:color="auto"/>
              <w:right w:val="single" w:sz="4" w:space="0" w:color="auto"/>
            </w:tcBorders>
          </w:tcPr>
          <w:p w14:paraId="01037A24" w14:textId="77777777" w:rsidR="00A03FCB" w:rsidRPr="00A03FCB" w:rsidRDefault="00A03FCB" w:rsidP="00A03FCB">
            <w:pPr>
              <w:ind w:left="0"/>
              <w:rPr>
                <w:rFonts w:ascii="Calibri" w:eastAsia="Times New Roman" w:hAnsi="Calibri" w:cs="Times New Roman"/>
              </w:rPr>
            </w:pPr>
          </w:p>
        </w:tc>
      </w:tr>
      <w:tr w:rsidR="00A03FCB" w:rsidRPr="00A03FCB" w14:paraId="696C3558"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01C9EA02" w14:textId="77777777" w:rsidR="00A03FCB" w:rsidRPr="00A03FCB" w:rsidRDefault="00A03FCB" w:rsidP="00A03FCB">
            <w:pPr>
              <w:ind w:left="0"/>
              <w:rPr>
                <w:rFonts w:ascii="Calibri" w:eastAsia="Times New Roman" w:hAnsi="Calibri" w:cs="Times New Roman"/>
              </w:rPr>
            </w:pPr>
          </w:p>
        </w:tc>
        <w:tc>
          <w:tcPr>
            <w:tcW w:w="5056" w:type="dxa"/>
            <w:tcBorders>
              <w:top w:val="single" w:sz="4" w:space="0" w:color="auto"/>
              <w:left w:val="single" w:sz="4" w:space="0" w:color="auto"/>
              <w:bottom w:val="single" w:sz="4" w:space="0" w:color="auto"/>
              <w:right w:val="single" w:sz="4" w:space="0" w:color="auto"/>
            </w:tcBorders>
          </w:tcPr>
          <w:p w14:paraId="3A22F05F" w14:textId="77777777" w:rsidR="00A03FCB" w:rsidRPr="00A03FCB" w:rsidRDefault="00A03FCB" w:rsidP="00A03FCB">
            <w:pPr>
              <w:ind w:left="0"/>
              <w:rPr>
                <w:rFonts w:ascii="Calibri" w:eastAsia="Times New Roman" w:hAnsi="Calibri" w:cs="Times New Roman"/>
              </w:rPr>
            </w:pPr>
          </w:p>
        </w:tc>
      </w:tr>
      <w:tr w:rsidR="00A03FCB" w:rsidRPr="00A03FCB" w14:paraId="0234C9D8"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774750B9" w14:textId="77777777" w:rsidR="00A03FCB" w:rsidRPr="00A03FCB" w:rsidRDefault="00A03FCB" w:rsidP="00A03FCB">
            <w:pPr>
              <w:ind w:left="0"/>
              <w:rPr>
                <w:rFonts w:ascii="Calibri" w:eastAsia="Times New Roman" w:hAnsi="Calibri" w:cs="Times New Roman"/>
              </w:rPr>
            </w:pPr>
          </w:p>
        </w:tc>
        <w:tc>
          <w:tcPr>
            <w:tcW w:w="5056" w:type="dxa"/>
            <w:tcBorders>
              <w:top w:val="single" w:sz="4" w:space="0" w:color="auto"/>
              <w:left w:val="single" w:sz="4" w:space="0" w:color="auto"/>
              <w:bottom w:val="single" w:sz="4" w:space="0" w:color="auto"/>
              <w:right w:val="single" w:sz="4" w:space="0" w:color="auto"/>
            </w:tcBorders>
          </w:tcPr>
          <w:p w14:paraId="05F0CEA8" w14:textId="77777777" w:rsidR="00A03FCB" w:rsidRPr="00A03FCB" w:rsidRDefault="00A03FCB" w:rsidP="00A03FCB">
            <w:pPr>
              <w:ind w:left="0"/>
              <w:rPr>
                <w:rFonts w:ascii="Calibri" w:eastAsia="Times New Roman" w:hAnsi="Calibri" w:cs="Times New Roman"/>
              </w:rPr>
            </w:pPr>
          </w:p>
        </w:tc>
      </w:tr>
      <w:tr w:rsidR="00A03FCB" w:rsidRPr="00A03FCB" w14:paraId="67D94774"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3E300988" w14:textId="77777777" w:rsidR="00A03FCB" w:rsidRPr="00A03FCB" w:rsidRDefault="00A03FCB" w:rsidP="00A03FCB">
            <w:pPr>
              <w:ind w:left="0"/>
              <w:rPr>
                <w:rFonts w:ascii="Calibri" w:eastAsia="Times New Roman" w:hAnsi="Calibri" w:cs="Times New Roman"/>
              </w:rPr>
            </w:pPr>
          </w:p>
        </w:tc>
        <w:tc>
          <w:tcPr>
            <w:tcW w:w="5056" w:type="dxa"/>
            <w:tcBorders>
              <w:top w:val="single" w:sz="4" w:space="0" w:color="auto"/>
              <w:left w:val="single" w:sz="4" w:space="0" w:color="auto"/>
              <w:bottom w:val="single" w:sz="4" w:space="0" w:color="auto"/>
              <w:right w:val="single" w:sz="4" w:space="0" w:color="auto"/>
            </w:tcBorders>
          </w:tcPr>
          <w:p w14:paraId="53EA8ABD" w14:textId="77777777" w:rsidR="00A03FCB" w:rsidRPr="00A03FCB" w:rsidRDefault="00A03FCB" w:rsidP="00A03FCB">
            <w:pPr>
              <w:ind w:left="0"/>
              <w:rPr>
                <w:rFonts w:ascii="Calibri" w:eastAsia="Times New Roman" w:hAnsi="Calibri" w:cs="Times New Roman"/>
              </w:rPr>
            </w:pPr>
          </w:p>
        </w:tc>
      </w:tr>
    </w:tbl>
    <w:p w14:paraId="15972255" w14:textId="77777777" w:rsidR="00A03FCB" w:rsidRPr="00A03FCB" w:rsidRDefault="00A03FCB" w:rsidP="00A03FCB">
      <w:pPr>
        <w:spacing w:before="120" w:line="276" w:lineRule="auto"/>
        <w:rPr>
          <w:rFonts w:ascii="Calibri" w:eastAsia="Times New Roman" w:hAnsi="Calibri" w:cs="Times New Roman"/>
        </w:rPr>
      </w:pPr>
    </w:p>
    <w:p w14:paraId="454F82AB" w14:textId="77777777" w:rsidR="00A03FCB" w:rsidRPr="0021413F" w:rsidRDefault="00A03FCB" w:rsidP="00133A04">
      <w:pPr>
        <w:spacing w:after="0" w:line="276" w:lineRule="auto"/>
        <w:rPr>
          <w:b/>
          <w:bCs/>
          <w:color w:val="7C5F1D" w:themeColor="accent4" w:themeShade="80"/>
        </w:rPr>
      </w:pPr>
    </w:p>
    <w:sectPr w:rsidR="00A03FCB" w:rsidRPr="0021413F" w:rsidSect="00CB6975">
      <w:headerReference w:type="default" r:id="rId29"/>
      <w:footerReference w:type="default" r:id="rId30"/>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0546" w14:textId="77777777" w:rsidR="0030772E" w:rsidRDefault="0030772E">
      <w:r>
        <w:separator/>
      </w:r>
    </w:p>
    <w:p w14:paraId="7E7DFE4E" w14:textId="77777777" w:rsidR="0030772E" w:rsidRDefault="0030772E"/>
  </w:endnote>
  <w:endnote w:type="continuationSeparator" w:id="0">
    <w:p w14:paraId="7510796D" w14:textId="77777777" w:rsidR="0030772E" w:rsidRDefault="0030772E">
      <w:r>
        <w:continuationSeparator/>
      </w:r>
    </w:p>
    <w:p w14:paraId="140F3B25" w14:textId="77777777" w:rsidR="0030772E" w:rsidRDefault="00307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30772E" w:rsidRDefault="00307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30772E" w:rsidRDefault="0030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509A" w14:textId="77777777" w:rsidR="0030772E" w:rsidRDefault="0030772E">
      <w:r>
        <w:separator/>
      </w:r>
    </w:p>
    <w:p w14:paraId="3983D8B2" w14:textId="77777777" w:rsidR="0030772E" w:rsidRDefault="0030772E"/>
  </w:footnote>
  <w:footnote w:type="continuationSeparator" w:id="0">
    <w:p w14:paraId="7CA474CF" w14:textId="77777777" w:rsidR="0030772E" w:rsidRDefault="0030772E">
      <w:r>
        <w:continuationSeparator/>
      </w:r>
    </w:p>
    <w:p w14:paraId="4C222428" w14:textId="77777777" w:rsidR="0030772E" w:rsidRDefault="00307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63BC6870" w:rsidR="0030772E" w:rsidRDefault="0030772E">
    <w:pPr>
      <w:pStyle w:val="Header"/>
    </w:pPr>
    <w:r>
      <w:t>WCMHPC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240"/>
        </w:tabs>
        <w:ind w:left="240" w:hanging="360"/>
      </w:pPr>
      <w:rPr>
        <w:rFonts w:ascii="Symbol" w:hAnsi="Symbol" w:hint="default"/>
      </w:rPr>
    </w:lvl>
  </w:abstractNum>
  <w:abstractNum w:abstractNumId="1" w15:restartNumberingAfterBreak="0">
    <w:nsid w:val="048C293C"/>
    <w:multiLevelType w:val="hybridMultilevel"/>
    <w:tmpl w:val="23C46F34"/>
    <w:lvl w:ilvl="0" w:tplc="B9769194">
      <w:start w:val="1"/>
      <w:numFmt w:val="bullet"/>
      <w:lvlText w:val=""/>
      <w:lvlJc w:val="left"/>
      <w:pPr>
        <w:ind w:left="2280" w:hanging="360"/>
      </w:pPr>
      <w:rPr>
        <w:rFonts w:ascii="Wingdings" w:eastAsia="Wingdings" w:hAnsi="Wingdings" w:hint="default"/>
        <w:w w:val="99"/>
        <w:sz w:val="24"/>
        <w:szCs w:val="24"/>
      </w:rPr>
    </w:lvl>
    <w:lvl w:ilvl="1" w:tplc="3C98FA7A">
      <w:start w:val="1"/>
      <w:numFmt w:val="bullet"/>
      <w:lvlText w:val="•"/>
      <w:lvlJc w:val="left"/>
      <w:pPr>
        <w:ind w:left="3008" w:hanging="360"/>
      </w:pPr>
      <w:rPr>
        <w:rFonts w:hint="default"/>
      </w:rPr>
    </w:lvl>
    <w:lvl w:ilvl="2" w:tplc="D59C637E">
      <w:start w:val="1"/>
      <w:numFmt w:val="bullet"/>
      <w:lvlText w:val="•"/>
      <w:lvlJc w:val="left"/>
      <w:pPr>
        <w:ind w:left="3736" w:hanging="360"/>
      </w:pPr>
      <w:rPr>
        <w:rFonts w:hint="default"/>
      </w:rPr>
    </w:lvl>
    <w:lvl w:ilvl="3" w:tplc="4BFA22CA">
      <w:start w:val="1"/>
      <w:numFmt w:val="bullet"/>
      <w:lvlText w:val="•"/>
      <w:lvlJc w:val="left"/>
      <w:pPr>
        <w:ind w:left="4464" w:hanging="360"/>
      </w:pPr>
      <w:rPr>
        <w:rFonts w:hint="default"/>
      </w:rPr>
    </w:lvl>
    <w:lvl w:ilvl="4" w:tplc="F1CCE9B6">
      <w:start w:val="1"/>
      <w:numFmt w:val="bullet"/>
      <w:lvlText w:val="•"/>
      <w:lvlJc w:val="left"/>
      <w:pPr>
        <w:ind w:left="5192" w:hanging="360"/>
      </w:pPr>
      <w:rPr>
        <w:rFonts w:hint="default"/>
      </w:rPr>
    </w:lvl>
    <w:lvl w:ilvl="5" w:tplc="6F1A9632">
      <w:start w:val="1"/>
      <w:numFmt w:val="bullet"/>
      <w:lvlText w:val="•"/>
      <w:lvlJc w:val="left"/>
      <w:pPr>
        <w:ind w:left="5920" w:hanging="360"/>
      </w:pPr>
      <w:rPr>
        <w:rFonts w:hint="default"/>
      </w:rPr>
    </w:lvl>
    <w:lvl w:ilvl="6" w:tplc="6DA2573E">
      <w:start w:val="1"/>
      <w:numFmt w:val="bullet"/>
      <w:lvlText w:val="•"/>
      <w:lvlJc w:val="left"/>
      <w:pPr>
        <w:ind w:left="6648" w:hanging="360"/>
      </w:pPr>
      <w:rPr>
        <w:rFonts w:hint="default"/>
      </w:rPr>
    </w:lvl>
    <w:lvl w:ilvl="7" w:tplc="6306425E">
      <w:start w:val="1"/>
      <w:numFmt w:val="bullet"/>
      <w:lvlText w:val="•"/>
      <w:lvlJc w:val="left"/>
      <w:pPr>
        <w:ind w:left="7376" w:hanging="360"/>
      </w:pPr>
      <w:rPr>
        <w:rFonts w:hint="default"/>
      </w:rPr>
    </w:lvl>
    <w:lvl w:ilvl="8" w:tplc="975E5E0C">
      <w:start w:val="1"/>
      <w:numFmt w:val="bullet"/>
      <w:lvlText w:val="•"/>
      <w:lvlJc w:val="left"/>
      <w:pPr>
        <w:ind w:left="8104" w:hanging="360"/>
      </w:pPr>
      <w:rPr>
        <w:rFonts w:hint="default"/>
      </w:rPr>
    </w:lvl>
  </w:abstractNum>
  <w:abstractNum w:abstractNumId="2" w15:restartNumberingAfterBreak="0">
    <w:nsid w:val="04E04816"/>
    <w:multiLevelType w:val="hybridMultilevel"/>
    <w:tmpl w:val="80CEF3CC"/>
    <w:lvl w:ilvl="0" w:tplc="99748114">
      <w:start w:val="1"/>
      <w:numFmt w:val="bullet"/>
      <w:lvlText w:val=""/>
      <w:lvlJc w:val="left"/>
      <w:pPr>
        <w:ind w:left="480" w:hanging="360"/>
      </w:pPr>
      <w:rPr>
        <w:rFonts w:ascii="Symbol" w:eastAsia="Symbol" w:hAnsi="Symbol" w:hint="default"/>
        <w:color w:val="006FC0"/>
        <w:w w:val="99"/>
        <w:sz w:val="24"/>
        <w:szCs w:val="24"/>
      </w:rPr>
    </w:lvl>
    <w:lvl w:ilvl="1" w:tplc="5E52CC20">
      <w:start w:val="1"/>
      <w:numFmt w:val="bullet"/>
      <w:lvlText w:val="-"/>
      <w:lvlJc w:val="left"/>
      <w:pPr>
        <w:ind w:left="840" w:hanging="360"/>
      </w:pPr>
      <w:rPr>
        <w:rFonts w:ascii="Calibri" w:eastAsia="Calibri" w:hAnsi="Calibri" w:hint="default"/>
        <w:w w:val="99"/>
      </w:rPr>
    </w:lvl>
    <w:lvl w:ilvl="2" w:tplc="90E4FDB8">
      <w:start w:val="1"/>
      <w:numFmt w:val="bullet"/>
      <w:lvlText w:val="•"/>
      <w:lvlJc w:val="left"/>
      <w:pPr>
        <w:ind w:left="1802" w:hanging="360"/>
      </w:pPr>
      <w:rPr>
        <w:rFonts w:hint="default"/>
      </w:rPr>
    </w:lvl>
    <w:lvl w:ilvl="3" w:tplc="2DB85D0E">
      <w:start w:val="1"/>
      <w:numFmt w:val="bullet"/>
      <w:lvlText w:val="•"/>
      <w:lvlJc w:val="left"/>
      <w:pPr>
        <w:ind w:left="2764" w:hanging="360"/>
      </w:pPr>
      <w:rPr>
        <w:rFonts w:hint="default"/>
      </w:rPr>
    </w:lvl>
    <w:lvl w:ilvl="4" w:tplc="4EFC9C54">
      <w:start w:val="1"/>
      <w:numFmt w:val="bullet"/>
      <w:lvlText w:val="•"/>
      <w:lvlJc w:val="left"/>
      <w:pPr>
        <w:ind w:left="3726" w:hanging="360"/>
      </w:pPr>
      <w:rPr>
        <w:rFonts w:hint="default"/>
      </w:rPr>
    </w:lvl>
    <w:lvl w:ilvl="5" w:tplc="BC409B90">
      <w:start w:val="1"/>
      <w:numFmt w:val="bullet"/>
      <w:lvlText w:val="•"/>
      <w:lvlJc w:val="left"/>
      <w:pPr>
        <w:ind w:left="4688" w:hanging="360"/>
      </w:pPr>
      <w:rPr>
        <w:rFonts w:hint="default"/>
      </w:rPr>
    </w:lvl>
    <w:lvl w:ilvl="6" w:tplc="48C4DABC">
      <w:start w:val="1"/>
      <w:numFmt w:val="bullet"/>
      <w:lvlText w:val="•"/>
      <w:lvlJc w:val="left"/>
      <w:pPr>
        <w:ind w:left="5651" w:hanging="360"/>
      </w:pPr>
      <w:rPr>
        <w:rFonts w:hint="default"/>
      </w:rPr>
    </w:lvl>
    <w:lvl w:ilvl="7" w:tplc="F984D400">
      <w:start w:val="1"/>
      <w:numFmt w:val="bullet"/>
      <w:lvlText w:val="•"/>
      <w:lvlJc w:val="left"/>
      <w:pPr>
        <w:ind w:left="6613" w:hanging="360"/>
      </w:pPr>
      <w:rPr>
        <w:rFonts w:hint="default"/>
      </w:rPr>
    </w:lvl>
    <w:lvl w:ilvl="8" w:tplc="99F6FB60">
      <w:start w:val="1"/>
      <w:numFmt w:val="bullet"/>
      <w:lvlText w:val="•"/>
      <w:lvlJc w:val="left"/>
      <w:pPr>
        <w:ind w:left="7575" w:hanging="360"/>
      </w:pPr>
      <w:rPr>
        <w:rFonts w:hint="default"/>
      </w:rPr>
    </w:lvl>
  </w:abstractNum>
  <w:abstractNum w:abstractNumId="3" w15:restartNumberingAfterBreak="0">
    <w:nsid w:val="0690787E"/>
    <w:multiLevelType w:val="hybridMultilevel"/>
    <w:tmpl w:val="BAE68738"/>
    <w:lvl w:ilvl="0" w:tplc="F5DCC398">
      <w:start w:val="1"/>
      <w:numFmt w:val="decimal"/>
      <w:lvlText w:val="%1."/>
      <w:lvlJc w:val="left"/>
      <w:pPr>
        <w:ind w:left="840" w:hanging="360"/>
        <w:jc w:val="right"/>
      </w:pPr>
      <w:rPr>
        <w:rFonts w:ascii="Calibri" w:eastAsia="Calibri" w:hAnsi="Calibri" w:hint="default"/>
        <w:spacing w:val="0"/>
        <w:w w:val="99"/>
        <w:sz w:val="24"/>
        <w:szCs w:val="24"/>
      </w:rPr>
    </w:lvl>
    <w:lvl w:ilvl="1" w:tplc="458A33A0">
      <w:start w:val="1"/>
      <w:numFmt w:val="decimal"/>
      <w:lvlText w:val="%2."/>
      <w:lvlJc w:val="left"/>
      <w:pPr>
        <w:ind w:left="840" w:hanging="360"/>
      </w:pPr>
      <w:rPr>
        <w:rFonts w:ascii="Calibri" w:eastAsia="Calibri" w:hAnsi="Calibri" w:hint="default"/>
        <w:spacing w:val="0"/>
        <w:w w:val="99"/>
        <w:sz w:val="24"/>
        <w:szCs w:val="24"/>
      </w:rPr>
    </w:lvl>
    <w:lvl w:ilvl="2" w:tplc="E41ED04A">
      <w:start w:val="1"/>
      <w:numFmt w:val="bullet"/>
      <w:lvlText w:val="•"/>
      <w:lvlJc w:val="left"/>
      <w:pPr>
        <w:ind w:left="2588" w:hanging="360"/>
      </w:pPr>
      <w:rPr>
        <w:rFonts w:hint="default"/>
      </w:rPr>
    </w:lvl>
    <w:lvl w:ilvl="3" w:tplc="5EA2E53C">
      <w:start w:val="1"/>
      <w:numFmt w:val="bullet"/>
      <w:lvlText w:val="•"/>
      <w:lvlJc w:val="left"/>
      <w:pPr>
        <w:ind w:left="3462" w:hanging="360"/>
      </w:pPr>
      <w:rPr>
        <w:rFonts w:hint="default"/>
      </w:rPr>
    </w:lvl>
    <w:lvl w:ilvl="4" w:tplc="C338ACA6">
      <w:start w:val="1"/>
      <w:numFmt w:val="bullet"/>
      <w:lvlText w:val="•"/>
      <w:lvlJc w:val="left"/>
      <w:pPr>
        <w:ind w:left="4336" w:hanging="360"/>
      </w:pPr>
      <w:rPr>
        <w:rFonts w:hint="default"/>
      </w:rPr>
    </w:lvl>
    <w:lvl w:ilvl="5" w:tplc="E6027B6E">
      <w:start w:val="1"/>
      <w:numFmt w:val="bullet"/>
      <w:lvlText w:val="•"/>
      <w:lvlJc w:val="left"/>
      <w:pPr>
        <w:ind w:left="5210" w:hanging="360"/>
      </w:pPr>
      <w:rPr>
        <w:rFonts w:hint="default"/>
      </w:rPr>
    </w:lvl>
    <w:lvl w:ilvl="6" w:tplc="BE2E857C">
      <w:start w:val="1"/>
      <w:numFmt w:val="bullet"/>
      <w:lvlText w:val="•"/>
      <w:lvlJc w:val="left"/>
      <w:pPr>
        <w:ind w:left="6084" w:hanging="360"/>
      </w:pPr>
      <w:rPr>
        <w:rFonts w:hint="default"/>
      </w:rPr>
    </w:lvl>
    <w:lvl w:ilvl="7" w:tplc="529EC756">
      <w:start w:val="1"/>
      <w:numFmt w:val="bullet"/>
      <w:lvlText w:val="•"/>
      <w:lvlJc w:val="left"/>
      <w:pPr>
        <w:ind w:left="6958" w:hanging="360"/>
      </w:pPr>
      <w:rPr>
        <w:rFonts w:hint="default"/>
      </w:rPr>
    </w:lvl>
    <w:lvl w:ilvl="8" w:tplc="E2522302">
      <w:start w:val="1"/>
      <w:numFmt w:val="bullet"/>
      <w:lvlText w:val="•"/>
      <w:lvlJc w:val="left"/>
      <w:pPr>
        <w:ind w:left="7832" w:hanging="360"/>
      </w:pPr>
      <w:rPr>
        <w:rFonts w:hint="default"/>
      </w:rPr>
    </w:lvl>
  </w:abstractNum>
  <w:abstractNum w:abstractNumId="4" w15:restartNumberingAfterBreak="0">
    <w:nsid w:val="06AE7232"/>
    <w:multiLevelType w:val="hybridMultilevel"/>
    <w:tmpl w:val="6F663E8A"/>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06EC4DD9"/>
    <w:multiLevelType w:val="hybridMultilevel"/>
    <w:tmpl w:val="7270BB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A910785"/>
    <w:multiLevelType w:val="hybridMultilevel"/>
    <w:tmpl w:val="4B7A1448"/>
    <w:lvl w:ilvl="0" w:tplc="59F2093E">
      <w:start w:val="1"/>
      <w:numFmt w:val="bullet"/>
      <w:lvlText w:val=""/>
      <w:lvlJc w:val="left"/>
      <w:pPr>
        <w:ind w:left="840" w:hanging="360"/>
      </w:pPr>
      <w:rPr>
        <w:rFonts w:ascii="Symbol" w:eastAsia="Symbol" w:hAnsi="Symbol" w:hint="default"/>
        <w:w w:val="99"/>
        <w:sz w:val="24"/>
        <w:szCs w:val="24"/>
      </w:rPr>
    </w:lvl>
    <w:lvl w:ilvl="1" w:tplc="042677C6">
      <w:start w:val="1"/>
      <w:numFmt w:val="bullet"/>
      <w:lvlText w:val="-"/>
      <w:lvlJc w:val="left"/>
      <w:pPr>
        <w:ind w:left="1200" w:hanging="360"/>
      </w:pPr>
      <w:rPr>
        <w:rFonts w:ascii="Calibri" w:eastAsia="Calibri" w:hAnsi="Calibri" w:hint="default"/>
        <w:w w:val="99"/>
        <w:sz w:val="24"/>
        <w:szCs w:val="24"/>
      </w:rPr>
    </w:lvl>
    <w:lvl w:ilvl="2" w:tplc="411E9904">
      <w:start w:val="1"/>
      <w:numFmt w:val="bullet"/>
      <w:lvlText w:val=""/>
      <w:lvlJc w:val="left"/>
      <w:pPr>
        <w:ind w:left="1560" w:hanging="360"/>
      </w:pPr>
      <w:rPr>
        <w:rFonts w:ascii="Wingdings" w:eastAsia="Wingdings" w:hAnsi="Wingdings" w:hint="default"/>
        <w:w w:val="99"/>
        <w:sz w:val="24"/>
        <w:szCs w:val="24"/>
      </w:rPr>
    </w:lvl>
    <w:lvl w:ilvl="3" w:tplc="B98841CA">
      <w:start w:val="1"/>
      <w:numFmt w:val="bullet"/>
      <w:lvlText w:val="•"/>
      <w:lvlJc w:val="left"/>
      <w:pPr>
        <w:ind w:left="1920" w:hanging="360"/>
      </w:pPr>
      <w:rPr>
        <w:rFonts w:hint="default"/>
      </w:rPr>
    </w:lvl>
    <w:lvl w:ilvl="4" w:tplc="447A7420">
      <w:start w:val="1"/>
      <w:numFmt w:val="bullet"/>
      <w:lvlText w:val="•"/>
      <w:lvlJc w:val="left"/>
      <w:pPr>
        <w:ind w:left="3000" w:hanging="360"/>
      </w:pPr>
      <w:rPr>
        <w:rFonts w:hint="default"/>
      </w:rPr>
    </w:lvl>
    <w:lvl w:ilvl="5" w:tplc="76AC17AC">
      <w:start w:val="1"/>
      <w:numFmt w:val="bullet"/>
      <w:lvlText w:val="•"/>
      <w:lvlJc w:val="left"/>
      <w:pPr>
        <w:ind w:left="4080" w:hanging="360"/>
      </w:pPr>
      <w:rPr>
        <w:rFonts w:hint="default"/>
      </w:rPr>
    </w:lvl>
    <w:lvl w:ilvl="6" w:tplc="A08EDA36">
      <w:start w:val="1"/>
      <w:numFmt w:val="bullet"/>
      <w:lvlText w:val="•"/>
      <w:lvlJc w:val="left"/>
      <w:pPr>
        <w:ind w:left="5160" w:hanging="360"/>
      </w:pPr>
      <w:rPr>
        <w:rFonts w:hint="default"/>
      </w:rPr>
    </w:lvl>
    <w:lvl w:ilvl="7" w:tplc="C8FCDF52">
      <w:start w:val="1"/>
      <w:numFmt w:val="bullet"/>
      <w:lvlText w:val="•"/>
      <w:lvlJc w:val="left"/>
      <w:pPr>
        <w:ind w:left="6240" w:hanging="360"/>
      </w:pPr>
      <w:rPr>
        <w:rFonts w:hint="default"/>
      </w:rPr>
    </w:lvl>
    <w:lvl w:ilvl="8" w:tplc="D6A2ABDE">
      <w:start w:val="1"/>
      <w:numFmt w:val="bullet"/>
      <w:lvlText w:val="•"/>
      <w:lvlJc w:val="left"/>
      <w:pPr>
        <w:ind w:left="7320" w:hanging="360"/>
      </w:pPr>
      <w:rPr>
        <w:rFonts w:hint="default"/>
      </w:rPr>
    </w:lvl>
  </w:abstractNum>
  <w:abstractNum w:abstractNumId="7" w15:restartNumberingAfterBreak="0">
    <w:nsid w:val="0AD13102"/>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8" w15:restartNumberingAfterBreak="0">
    <w:nsid w:val="10164E32"/>
    <w:multiLevelType w:val="hybridMultilevel"/>
    <w:tmpl w:val="50A6654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2C5254B"/>
    <w:multiLevelType w:val="hybridMultilevel"/>
    <w:tmpl w:val="E8467CE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443537C"/>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F588B"/>
    <w:multiLevelType w:val="hybridMultilevel"/>
    <w:tmpl w:val="3F3E811A"/>
    <w:lvl w:ilvl="0" w:tplc="1D9E9514">
      <w:start w:val="1"/>
      <w:numFmt w:val="decimal"/>
      <w:lvlText w:val="%1."/>
      <w:lvlJc w:val="left"/>
      <w:pPr>
        <w:ind w:left="365" w:hanging="360"/>
      </w:pPr>
      <w:rPr>
        <w:rFonts w:ascii="Calibri" w:eastAsia="Calibri" w:hAnsi="Calibri" w:hint="default"/>
        <w:spacing w:val="0"/>
        <w:w w:val="99"/>
        <w:sz w:val="24"/>
        <w:szCs w:val="24"/>
      </w:rPr>
    </w:lvl>
    <w:lvl w:ilvl="1" w:tplc="C78C01FE">
      <w:start w:val="1"/>
      <w:numFmt w:val="decimal"/>
      <w:lvlText w:val="(%2)"/>
      <w:lvlJc w:val="left"/>
      <w:pPr>
        <w:ind w:left="365" w:hanging="322"/>
      </w:pPr>
      <w:rPr>
        <w:rFonts w:ascii="Calibri" w:eastAsia="Calibri" w:hAnsi="Calibri"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13" w15:restartNumberingAfterBreak="0">
    <w:nsid w:val="28771A99"/>
    <w:multiLevelType w:val="hybridMultilevel"/>
    <w:tmpl w:val="4B48907E"/>
    <w:lvl w:ilvl="0" w:tplc="D74291BE">
      <w:start w:val="1"/>
      <w:numFmt w:val="bullet"/>
      <w:lvlText w:val="-"/>
      <w:lvlJc w:val="left"/>
      <w:pPr>
        <w:ind w:left="1160" w:hanging="360"/>
      </w:pPr>
      <w:rPr>
        <w:rFonts w:ascii="Calibri" w:eastAsia="Calibri" w:hAnsi="Calibri" w:hint="default"/>
        <w:w w:val="99"/>
        <w:sz w:val="24"/>
        <w:szCs w:val="24"/>
      </w:rPr>
    </w:lvl>
    <w:lvl w:ilvl="1" w:tplc="8D12801E">
      <w:start w:val="1"/>
      <w:numFmt w:val="bullet"/>
      <w:lvlText w:val=""/>
      <w:lvlJc w:val="left"/>
      <w:pPr>
        <w:ind w:left="1520" w:hanging="360"/>
      </w:pPr>
      <w:rPr>
        <w:rFonts w:ascii="Wingdings" w:eastAsia="Wingdings" w:hAnsi="Wingdings" w:hint="default"/>
        <w:w w:val="99"/>
        <w:sz w:val="24"/>
        <w:szCs w:val="24"/>
      </w:rPr>
    </w:lvl>
    <w:lvl w:ilvl="2" w:tplc="9EA0C81E">
      <w:start w:val="1"/>
      <w:numFmt w:val="bullet"/>
      <w:lvlText w:val="•"/>
      <w:lvlJc w:val="left"/>
      <w:pPr>
        <w:ind w:left="2328" w:hanging="360"/>
      </w:pPr>
      <w:rPr>
        <w:rFonts w:hint="default"/>
      </w:rPr>
    </w:lvl>
    <w:lvl w:ilvl="3" w:tplc="AC4EC226">
      <w:start w:val="1"/>
      <w:numFmt w:val="bullet"/>
      <w:lvlText w:val="•"/>
      <w:lvlJc w:val="left"/>
      <w:pPr>
        <w:ind w:left="3137" w:hanging="360"/>
      </w:pPr>
      <w:rPr>
        <w:rFonts w:hint="default"/>
      </w:rPr>
    </w:lvl>
    <w:lvl w:ilvl="4" w:tplc="DF0C527E">
      <w:start w:val="1"/>
      <w:numFmt w:val="bullet"/>
      <w:lvlText w:val="•"/>
      <w:lvlJc w:val="left"/>
      <w:pPr>
        <w:ind w:left="3946" w:hanging="360"/>
      </w:pPr>
      <w:rPr>
        <w:rFonts w:hint="default"/>
      </w:rPr>
    </w:lvl>
    <w:lvl w:ilvl="5" w:tplc="FF8EA776">
      <w:start w:val="1"/>
      <w:numFmt w:val="bullet"/>
      <w:lvlText w:val="•"/>
      <w:lvlJc w:val="left"/>
      <w:pPr>
        <w:ind w:left="4755" w:hanging="360"/>
      </w:pPr>
      <w:rPr>
        <w:rFonts w:hint="default"/>
      </w:rPr>
    </w:lvl>
    <w:lvl w:ilvl="6" w:tplc="04F21170">
      <w:start w:val="1"/>
      <w:numFmt w:val="bullet"/>
      <w:lvlText w:val="•"/>
      <w:lvlJc w:val="left"/>
      <w:pPr>
        <w:ind w:left="5564" w:hanging="360"/>
      </w:pPr>
      <w:rPr>
        <w:rFonts w:hint="default"/>
      </w:rPr>
    </w:lvl>
    <w:lvl w:ilvl="7" w:tplc="779654B0">
      <w:start w:val="1"/>
      <w:numFmt w:val="bullet"/>
      <w:lvlText w:val="•"/>
      <w:lvlJc w:val="left"/>
      <w:pPr>
        <w:ind w:left="6373" w:hanging="360"/>
      </w:pPr>
      <w:rPr>
        <w:rFonts w:hint="default"/>
      </w:rPr>
    </w:lvl>
    <w:lvl w:ilvl="8" w:tplc="655E47A6">
      <w:start w:val="1"/>
      <w:numFmt w:val="bullet"/>
      <w:lvlText w:val="•"/>
      <w:lvlJc w:val="left"/>
      <w:pPr>
        <w:ind w:left="7182" w:hanging="360"/>
      </w:pPr>
      <w:rPr>
        <w:rFonts w:hint="default"/>
      </w:rPr>
    </w:lvl>
  </w:abstractNum>
  <w:abstractNum w:abstractNumId="14" w15:restartNumberingAfterBreak="0">
    <w:nsid w:val="361F0504"/>
    <w:multiLevelType w:val="hybridMultilevel"/>
    <w:tmpl w:val="578614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4D902EE"/>
    <w:multiLevelType w:val="hybridMultilevel"/>
    <w:tmpl w:val="0EA66F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673789B"/>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49895C74"/>
    <w:multiLevelType w:val="hybridMultilevel"/>
    <w:tmpl w:val="25EE8EBE"/>
    <w:lvl w:ilvl="0" w:tplc="7A42BA92">
      <w:start w:val="1"/>
      <w:numFmt w:val="decimal"/>
      <w:lvlText w:val="%1."/>
      <w:lvlJc w:val="left"/>
      <w:pPr>
        <w:ind w:left="840" w:hanging="360"/>
      </w:pPr>
      <w:rPr>
        <w:rFonts w:ascii="Calibri" w:eastAsia="Calibri" w:hAnsi="Calibri" w:hint="default"/>
        <w:spacing w:val="0"/>
        <w:w w:val="99"/>
        <w:sz w:val="24"/>
        <w:szCs w:val="24"/>
      </w:rPr>
    </w:lvl>
    <w:lvl w:ilvl="1" w:tplc="10EEF016">
      <w:start w:val="1"/>
      <w:numFmt w:val="bullet"/>
      <w:lvlText w:val="•"/>
      <w:lvlJc w:val="left"/>
      <w:pPr>
        <w:ind w:left="1712" w:hanging="360"/>
      </w:pPr>
      <w:rPr>
        <w:rFonts w:hint="default"/>
      </w:rPr>
    </w:lvl>
    <w:lvl w:ilvl="2" w:tplc="056AED1A">
      <w:start w:val="1"/>
      <w:numFmt w:val="bullet"/>
      <w:lvlText w:val="•"/>
      <w:lvlJc w:val="left"/>
      <w:pPr>
        <w:ind w:left="2584" w:hanging="360"/>
      </w:pPr>
      <w:rPr>
        <w:rFonts w:hint="default"/>
      </w:rPr>
    </w:lvl>
    <w:lvl w:ilvl="3" w:tplc="97DAFE30">
      <w:start w:val="1"/>
      <w:numFmt w:val="bullet"/>
      <w:lvlText w:val="•"/>
      <w:lvlJc w:val="left"/>
      <w:pPr>
        <w:ind w:left="3456" w:hanging="360"/>
      </w:pPr>
      <w:rPr>
        <w:rFonts w:hint="default"/>
      </w:rPr>
    </w:lvl>
    <w:lvl w:ilvl="4" w:tplc="316EC060">
      <w:start w:val="1"/>
      <w:numFmt w:val="bullet"/>
      <w:lvlText w:val="•"/>
      <w:lvlJc w:val="left"/>
      <w:pPr>
        <w:ind w:left="4328" w:hanging="360"/>
      </w:pPr>
      <w:rPr>
        <w:rFonts w:hint="default"/>
      </w:rPr>
    </w:lvl>
    <w:lvl w:ilvl="5" w:tplc="93B62DB0">
      <w:start w:val="1"/>
      <w:numFmt w:val="bullet"/>
      <w:lvlText w:val="•"/>
      <w:lvlJc w:val="left"/>
      <w:pPr>
        <w:ind w:left="5200" w:hanging="360"/>
      </w:pPr>
      <w:rPr>
        <w:rFonts w:hint="default"/>
      </w:rPr>
    </w:lvl>
    <w:lvl w:ilvl="6" w:tplc="17B00512">
      <w:start w:val="1"/>
      <w:numFmt w:val="bullet"/>
      <w:lvlText w:val="•"/>
      <w:lvlJc w:val="left"/>
      <w:pPr>
        <w:ind w:left="6072" w:hanging="360"/>
      </w:pPr>
      <w:rPr>
        <w:rFonts w:hint="default"/>
      </w:rPr>
    </w:lvl>
    <w:lvl w:ilvl="7" w:tplc="C7B87B0E">
      <w:start w:val="1"/>
      <w:numFmt w:val="bullet"/>
      <w:lvlText w:val="•"/>
      <w:lvlJc w:val="left"/>
      <w:pPr>
        <w:ind w:left="6944" w:hanging="360"/>
      </w:pPr>
      <w:rPr>
        <w:rFonts w:hint="default"/>
      </w:rPr>
    </w:lvl>
    <w:lvl w:ilvl="8" w:tplc="584E3D82">
      <w:start w:val="1"/>
      <w:numFmt w:val="bullet"/>
      <w:lvlText w:val="•"/>
      <w:lvlJc w:val="left"/>
      <w:pPr>
        <w:ind w:left="7816" w:hanging="360"/>
      </w:pPr>
      <w:rPr>
        <w:rFonts w:hint="default"/>
      </w:rPr>
    </w:lvl>
  </w:abstractNum>
  <w:abstractNum w:abstractNumId="18" w15:restartNumberingAfterBreak="0">
    <w:nsid w:val="4C0D5402"/>
    <w:multiLevelType w:val="hybridMultilevel"/>
    <w:tmpl w:val="1A3258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DA62DBA"/>
    <w:multiLevelType w:val="hybridMultilevel"/>
    <w:tmpl w:val="B55AC176"/>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0" w15:restartNumberingAfterBreak="0">
    <w:nsid w:val="4F4D0AD1"/>
    <w:multiLevelType w:val="hybridMultilevel"/>
    <w:tmpl w:val="2FF88D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55F5F38"/>
    <w:multiLevelType w:val="hybridMultilevel"/>
    <w:tmpl w:val="65469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6B7917"/>
    <w:multiLevelType w:val="hybridMultilevel"/>
    <w:tmpl w:val="5A08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C82B5A"/>
    <w:multiLevelType w:val="hybridMultilevel"/>
    <w:tmpl w:val="A3FA39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658612D6"/>
    <w:multiLevelType w:val="hybridMultilevel"/>
    <w:tmpl w:val="7C7E5878"/>
    <w:lvl w:ilvl="0" w:tplc="1D9E9514">
      <w:start w:val="1"/>
      <w:numFmt w:val="decimal"/>
      <w:lvlText w:val="%1."/>
      <w:lvlJc w:val="left"/>
      <w:pPr>
        <w:ind w:left="365" w:hanging="360"/>
      </w:pPr>
      <w:rPr>
        <w:rFonts w:ascii="Calibri" w:eastAsia="Calibri" w:hAnsi="Calibri" w:hint="default"/>
        <w:spacing w:val="0"/>
        <w:w w:val="99"/>
        <w:sz w:val="24"/>
        <w:szCs w:val="24"/>
      </w:rPr>
    </w:lvl>
    <w:lvl w:ilvl="1" w:tplc="04090001">
      <w:start w:val="1"/>
      <w:numFmt w:val="bullet"/>
      <w:lvlText w:val=""/>
      <w:lvlJc w:val="left"/>
      <w:pPr>
        <w:ind w:left="365" w:hanging="322"/>
      </w:pPr>
      <w:rPr>
        <w:rFonts w:ascii="Symbol" w:hAnsi="Symbol"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25" w15:restartNumberingAfterBreak="0">
    <w:nsid w:val="66DB2D1B"/>
    <w:multiLevelType w:val="hybridMultilevel"/>
    <w:tmpl w:val="4412E06E"/>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A0C93"/>
    <w:multiLevelType w:val="hybridMultilevel"/>
    <w:tmpl w:val="27B0DB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1481514"/>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num w:numId="1" w16cid:durableId="752164491">
    <w:abstractNumId w:val="0"/>
  </w:num>
  <w:num w:numId="2" w16cid:durableId="1789660443">
    <w:abstractNumId w:val="11"/>
  </w:num>
  <w:num w:numId="3" w16cid:durableId="518545921">
    <w:abstractNumId w:val="17"/>
  </w:num>
  <w:num w:numId="4" w16cid:durableId="813793250">
    <w:abstractNumId w:val="2"/>
  </w:num>
  <w:num w:numId="5" w16cid:durableId="993948810">
    <w:abstractNumId w:val="13"/>
  </w:num>
  <w:num w:numId="6" w16cid:durableId="638725320">
    <w:abstractNumId w:val="1"/>
  </w:num>
  <w:num w:numId="7" w16cid:durableId="187909310">
    <w:abstractNumId w:val="12"/>
  </w:num>
  <w:num w:numId="8" w16cid:durableId="423653004">
    <w:abstractNumId w:val="6"/>
  </w:num>
  <w:num w:numId="9" w16cid:durableId="795148448">
    <w:abstractNumId w:val="3"/>
  </w:num>
  <w:num w:numId="10" w16cid:durableId="371464219">
    <w:abstractNumId w:val="18"/>
  </w:num>
  <w:num w:numId="11" w16cid:durableId="1212577571">
    <w:abstractNumId w:val="22"/>
  </w:num>
  <w:num w:numId="12" w16cid:durableId="1842162635">
    <w:abstractNumId w:val="26"/>
  </w:num>
  <w:num w:numId="13" w16cid:durableId="1061712512">
    <w:abstractNumId w:val="5"/>
  </w:num>
  <w:num w:numId="14" w16cid:durableId="214513834">
    <w:abstractNumId w:val="24"/>
  </w:num>
  <w:num w:numId="15" w16cid:durableId="366177705">
    <w:abstractNumId w:val="19"/>
  </w:num>
  <w:num w:numId="16" w16cid:durableId="2022658596">
    <w:abstractNumId w:val="25"/>
  </w:num>
  <w:num w:numId="17" w16cid:durableId="1541358638">
    <w:abstractNumId w:val="4"/>
  </w:num>
  <w:num w:numId="18" w16cid:durableId="1860926222">
    <w:abstractNumId w:val="16"/>
  </w:num>
  <w:num w:numId="19" w16cid:durableId="724795384">
    <w:abstractNumId w:val="10"/>
  </w:num>
  <w:num w:numId="20" w16cid:durableId="1149588870">
    <w:abstractNumId w:val="7"/>
  </w:num>
  <w:num w:numId="21" w16cid:durableId="1097872757">
    <w:abstractNumId w:val="27"/>
  </w:num>
  <w:num w:numId="22" w16cid:durableId="926110375">
    <w:abstractNumId w:val="15"/>
  </w:num>
  <w:num w:numId="23" w16cid:durableId="1197498344">
    <w:abstractNumId w:val="21"/>
  </w:num>
  <w:num w:numId="24" w16cid:durableId="962883120">
    <w:abstractNumId w:val="8"/>
  </w:num>
  <w:num w:numId="25" w16cid:durableId="2120442283">
    <w:abstractNumId w:val="20"/>
  </w:num>
  <w:num w:numId="26" w16cid:durableId="845560199">
    <w:abstractNumId w:val="23"/>
  </w:num>
  <w:num w:numId="27" w16cid:durableId="622007292">
    <w:abstractNumId w:val="9"/>
  </w:num>
  <w:num w:numId="28" w16cid:durableId="717315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33C61"/>
    <w:rsid w:val="00047740"/>
    <w:rsid w:val="00063F39"/>
    <w:rsid w:val="000A2AD6"/>
    <w:rsid w:val="000A3177"/>
    <w:rsid w:val="000C505F"/>
    <w:rsid w:val="000E46C0"/>
    <w:rsid w:val="00115477"/>
    <w:rsid w:val="00116A1A"/>
    <w:rsid w:val="00133567"/>
    <w:rsid w:val="00133A04"/>
    <w:rsid w:val="00182738"/>
    <w:rsid w:val="00205C08"/>
    <w:rsid w:val="0021413F"/>
    <w:rsid w:val="00232DEF"/>
    <w:rsid w:val="002671C0"/>
    <w:rsid w:val="0027159A"/>
    <w:rsid w:val="0027589B"/>
    <w:rsid w:val="00277AE3"/>
    <w:rsid w:val="002F73E7"/>
    <w:rsid w:val="0030772E"/>
    <w:rsid w:val="0031792E"/>
    <w:rsid w:val="00396480"/>
    <w:rsid w:val="003B2CC9"/>
    <w:rsid w:val="003C05B8"/>
    <w:rsid w:val="004132C0"/>
    <w:rsid w:val="004465CF"/>
    <w:rsid w:val="004548F7"/>
    <w:rsid w:val="004757F8"/>
    <w:rsid w:val="00495B5F"/>
    <w:rsid w:val="004B2E9A"/>
    <w:rsid w:val="004D6E63"/>
    <w:rsid w:val="005209A5"/>
    <w:rsid w:val="00597DC7"/>
    <w:rsid w:val="005A17ED"/>
    <w:rsid w:val="005D3B38"/>
    <w:rsid w:val="005E728D"/>
    <w:rsid w:val="005F3390"/>
    <w:rsid w:val="006120F3"/>
    <w:rsid w:val="00677F7F"/>
    <w:rsid w:val="00686A37"/>
    <w:rsid w:val="0069750E"/>
    <w:rsid w:val="00710C81"/>
    <w:rsid w:val="00741687"/>
    <w:rsid w:val="00742255"/>
    <w:rsid w:val="00756488"/>
    <w:rsid w:val="0078350C"/>
    <w:rsid w:val="007B140B"/>
    <w:rsid w:val="007C6C9A"/>
    <w:rsid w:val="007D0922"/>
    <w:rsid w:val="007E24F0"/>
    <w:rsid w:val="007E5787"/>
    <w:rsid w:val="0081624A"/>
    <w:rsid w:val="00841BFF"/>
    <w:rsid w:val="00852E49"/>
    <w:rsid w:val="00874108"/>
    <w:rsid w:val="008827BA"/>
    <w:rsid w:val="00890654"/>
    <w:rsid w:val="008B6F13"/>
    <w:rsid w:val="008D242D"/>
    <w:rsid w:val="008F52C1"/>
    <w:rsid w:val="00946F95"/>
    <w:rsid w:val="00981A3B"/>
    <w:rsid w:val="009859EE"/>
    <w:rsid w:val="009A29C3"/>
    <w:rsid w:val="009A6E33"/>
    <w:rsid w:val="009F0A72"/>
    <w:rsid w:val="009F7F5A"/>
    <w:rsid w:val="00A03FCB"/>
    <w:rsid w:val="00A10F5E"/>
    <w:rsid w:val="00A13456"/>
    <w:rsid w:val="00A65CF7"/>
    <w:rsid w:val="00A862BD"/>
    <w:rsid w:val="00AB1EC8"/>
    <w:rsid w:val="00AB4B9D"/>
    <w:rsid w:val="00AD4EE4"/>
    <w:rsid w:val="00B011BF"/>
    <w:rsid w:val="00B2594F"/>
    <w:rsid w:val="00B90ED5"/>
    <w:rsid w:val="00BA7EB5"/>
    <w:rsid w:val="00BD0DD5"/>
    <w:rsid w:val="00BE35F7"/>
    <w:rsid w:val="00BE4F06"/>
    <w:rsid w:val="00C26293"/>
    <w:rsid w:val="00C527F9"/>
    <w:rsid w:val="00C63795"/>
    <w:rsid w:val="00C746C0"/>
    <w:rsid w:val="00C779E3"/>
    <w:rsid w:val="00CB6975"/>
    <w:rsid w:val="00CD78CE"/>
    <w:rsid w:val="00CE0523"/>
    <w:rsid w:val="00D12028"/>
    <w:rsid w:val="00D254B6"/>
    <w:rsid w:val="00D272CA"/>
    <w:rsid w:val="00D56573"/>
    <w:rsid w:val="00DB3080"/>
    <w:rsid w:val="00E420DA"/>
    <w:rsid w:val="00E550A1"/>
    <w:rsid w:val="00E92CF7"/>
    <w:rsid w:val="00EF0245"/>
    <w:rsid w:val="00EF1E13"/>
    <w:rsid w:val="00F1702A"/>
    <w:rsid w:val="00F248CA"/>
    <w:rsid w:val="00F61C45"/>
    <w:rsid w:val="00F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80865A" w:themeColor="accent3" w:themeShade="BF"/>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80865A" w:themeColor="accent3" w:themeShade="BF"/>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063F39"/>
    <w:rPr>
      <w:b w:val="0"/>
      <w:bCs/>
      <w:color w:val="A17B36" w:themeColor="background2" w:themeShade="80"/>
      <w:u w:val="single"/>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39"/>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uiPriority w:val="1"/>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character" w:styleId="UnresolvedMention">
    <w:name w:val="Unresolved Mention"/>
    <w:basedOn w:val="DefaultParagraphFont"/>
    <w:uiPriority w:val="99"/>
    <w:semiHidden/>
    <w:unhideWhenUsed/>
    <w:rsid w:val="00063F39"/>
    <w:rPr>
      <w:color w:val="605E5C"/>
      <w:shd w:val="clear" w:color="auto" w:fill="E1DFDD"/>
    </w:rPr>
  </w:style>
  <w:style w:type="character" w:styleId="CommentReference">
    <w:name w:val="annotation reference"/>
    <w:basedOn w:val="DefaultParagraphFont"/>
    <w:uiPriority w:val="99"/>
    <w:semiHidden/>
    <w:unhideWhenUsed/>
    <w:rsid w:val="00BE35F7"/>
    <w:rPr>
      <w:sz w:val="16"/>
      <w:szCs w:val="16"/>
    </w:rPr>
  </w:style>
  <w:style w:type="paragraph" w:styleId="CommentText">
    <w:name w:val="annotation text"/>
    <w:basedOn w:val="Normal"/>
    <w:link w:val="CommentTextChar"/>
    <w:uiPriority w:val="99"/>
    <w:semiHidden/>
    <w:unhideWhenUsed/>
    <w:rsid w:val="00BE35F7"/>
    <w:rPr>
      <w:sz w:val="20"/>
      <w:szCs w:val="20"/>
    </w:rPr>
  </w:style>
  <w:style w:type="character" w:customStyle="1" w:styleId="CommentTextChar">
    <w:name w:val="Comment Text Char"/>
    <w:basedOn w:val="DefaultParagraphFont"/>
    <w:link w:val="CommentText"/>
    <w:uiPriority w:val="99"/>
    <w:semiHidden/>
    <w:rsid w:val="00BE35F7"/>
    <w:rPr>
      <w:sz w:val="20"/>
      <w:szCs w:val="20"/>
    </w:rPr>
  </w:style>
  <w:style w:type="paragraph" w:styleId="CommentSubject">
    <w:name w:val="annotation subject"/>
    <w:basedOn w:val="CommentText"/>
    <w:next w:val="CommentText"/>
    <w:link w:val="CommentSubjectChar"/>
    <w:uiPriority w:val="99"/>
    <w:semiHidden/>
    <w:unhideWhenUsed/>
    <w:rsid w:val="00BE35F7"/>
    <w:rPr>
      <w:b/>
      <w:bCs/>
    </w:rPr>
  </w:style>
  <w:style w:type="character" w:customStyle="1" w:styleId="CommentSubjectChar">
    <w:name w:val="Comment Subject Char"/>
    <w:basedOn w:val="CommentTextChar"/>
    <w:link w:val="CommentSubject"/>
    <w:uiPriority w:val="99"/>
    <w:semiHidden/>
    <w:rsid w:val="00BE35F7"/>
    <w:rPr>
      <w:b/>
      <w:bCs/>
      <w:sz w:val="20"/>
      <w:szCs w:val="20"/>
    </w:rPr>
  </w:style>
  <w:style w:type="character" w:styleId="FollowedHyperlink">
    <w:name w:val="FollowedHyperlink"/>
    <w:basedOn w:val="DefaultParagraphFont"/>
    <w:uiPriority w:val="99"/>
    <w:semiHidden/>
    <w:unhideWhenUsed/>
    <w:rsid w:val="00AD4EE4"/>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www.health.state.mn.us/communities/ep/surge/burn/burnsurgeplan.pdf" TargetMode="External"/><Relationship Id="rId26" Type="http://schemas.openxmlformats.org/officeDocument/2006/relationships/hyperlink" Target="https://www.health.state.mn.us/communities/ep/surge/burn/tbsa.html" TargetMode="External"/><Relationship Id="rId3" Type="http://schemas.openxmlformats.org/officeDocument/2006/relationships/customXml" Target="../customXml/item3.xml"/><Relationship Id="rId21" Type="http://schemas.openxmlformats.org/officeDocument/2006/relationships/hyperlink" Target="https://www.ncems.org/pdf/TraumaTriageTemplate.pdf"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hyperlink" Target="https://www.health.state.mn.us/communities/ep/surge/burn/burndepth.html"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ameriburn.org/wp-content/uploads/2017/05/guidelines_for_burn_care_under_austere_conditions_.68.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state.mn.us/communities/ep/surge/burn/video.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s://www.health.state.mn.us/communities/ep/surge/burn/burnsurgeplan.pdf" TargetMode="External"/><Relationship Id="rId28" Type="http://schemas.openxmlformats.org/officeDocument/2006/relationships/hyperlink" Target="https://www.health.state.mn.us/communities/ep/surge/burn/index.html" TargetMode="External"/><Relationship Id="rId10" Type="http://schemas.openxmlformats.org/officeDocument/2006/relationships/footnotes" Target="footnotes.xml"/><Relationship Id="rId19" Type="http://schemas.openxmlformats.org/officeDocument/2006/relationships/hyperlink" Target="https://www.health.state.mn.us/communities/ep/surge/burn/pedsorder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s://www.health.state.mn.us/communities/ep/surge/burn/burnsurgeplan.pdf" TargetMode="External"/><Relationship Id="rId27" Type="http://schemas.openxmlformats.org/officeDocument/2006/relationships/hyperlink" Target="https://www.health.state.mn.us/communities/ep/surge/burn/triageburns.html"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AA3BC2-BC69-40B2-B684-604EC520CD6A}"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n-US"/>
        </a:p>
      </dgm:t>
    </dgm:pt>
    <dgm:pt modelId="{006E05BE-F8BB-479E-B852-7DD31FAA2B42}">
      <dgm:prSet phldrT="[Text]"/>
      <dgm:spPr>
        <a:ln>
          <a:solidFill>
            <a:schemeClr val="tx1"/>
          </a:solidFill>
        </a:ln>
      </dgm:spPr>
      <dgm:t>
        <a:bodyPr/>
        <a:lstStyle/>
        <a:p>
          <a:r>
            <a:rPr lang="en-US">
              <a:solidFill>
                <a:sysClr val="windowText" lastClr="000000"/>
              </a:solidFill>
            </a:rPr>
            <a:t>EMS dispatch to scene </a:t>
          </a:r>
        </a:p>
      </dgm:t>
    </dgm:pt>
    <dgm:pt modelId="{2AB055FE-B176-4D9A-9751-EBAE77A5E4C3}" type="parTrans" cxnId="{E8F280DD-F6CB-4CD2-99C3-920597630F4B}">
      <dgm:prSet/>
      <dgm:spPr/>
      <dgm:t>
        <a:bodyPr/>
        <a:lstStyle/>
        <a:p>
          <a:endParaRPr lang="en-US"/>
        </a:p>
      </dgm:t>
    </dgm:pt>
    <dgm:pt modelId="{5A8BA186-9983-45DF-80A2-BC5ED957293A}" type="sibTrans" cxnId="{E8F280DD-F6CB-4CD2-99C3-920597630F4B}">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en-US"/>
        </a:p>
      </dgm:t>
    </dgm:pt>
    <dgm:pt modelId="{875530F5-6C10-4EC1-933C-4F8DA798294F}">
      <dgm:prSet phldrT="[Text]"/>
      <dgm:spPr>
        <a:ln>
          <a:solidFill>
            <a:schemeClr val="tx1"/>
          </a:solidFill>
        </a:ln>
      </dgm:spPr>
      <dgm:t>
        <a:bodyPr/>
        <a:lstStyle/>
        <a:p>
          <a:r>
            <a:rPr lang="en-US">
              <a:solidFill>
                <a:sysClr val="windowText" lastClr="000000"/>
              </a:solidFill>
            </a:rPr>
            <a:t>EMS notifies closest health care facility of incident</a:t>
          </a:r>
        </a:p>
      </dgm:t>
    </dgm:pt>
    <dgm:pt modelId="{B2C45135-3954-48B0-855D-588855D846B5}" type="parTrans" cxnId="{21902188-4F92-4BB8-A853-62D52AEA3EF1}">
      <dgm:prSet/>
      <dgm:spPr/>
      <dgm:t>
        <a:bodyPr/>
        <a:lstStyle/>
        <a:p>
          <a:endParaRPr lang="en-US"/>
        </a:p>
      </dgm:t>
    </dgm:pt>
    <dgm:pt modelId="{4B4EA54D-45BF-4D26-A222-4A935852E13A}" type="sibTrans" cxnId="{21902188-4F92-4BB8-A853-62D52AEA3EF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en-US"/>
        </a:p>
      </dgm:t>
    </dgm:pt>
    <dgm:pt modelId="{1D6E24DA-ED5B-4151-A4EE-D764ED117121}">
      <dgm:prSet phldrT="[Text]"/>
      <dgm:spPr>
        <a:ln>
          <a:solidFill>
            <a:schemeClr val="tx1"/>
          </a:solidFill>
        </a:ln>
      </dgm:spPr>
      <dgm:t>
        <a:bodyPr/>
        <a:lstStyle/>
        <a:p>
          <a:r>
            <a:rPr lang="en-US">
              <a:solidFill>
                <a:sysClr val="windowText" lastClr="000000"/>
              </a:solidFill>
            </a:rPr>
            <a:t>Local hospital calls closest Burn Center</a:t>
          </a:r>
        </a:p>
      </dgm:t>
    </dgm:pt>
    <dgm:pt modelId="{FB1F6738-52B3-4819-BEAC-90E728786E81}" type="parTrans" cxnId="{1CE5287A-6D73-4164-8059-350D91C4D37F}">
      <dgm:prSet/>
      <dgm:spPr/>
      <dgm:t>
        <a:bodyPr/>
        <a:lstStyle/>
        <a:p>
          <a:endParaRPr lang="en-US"/>
        </a:p>
      </dgm:t>
    </dgm:pt>
    <dgm:pt modelId="{C5995438-3F72-42A5-A3DE-34A9B7A93525}" type="sibTrans" cxnId="{1CE5287A-6D73-4164-8059-350D91C4D37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en-US"/>
        </a:p>
      </dgm:t>
    </dgm:pt>
    <dgm:pt modelId="{AD06232F-0E82-45E5-A416-7DC250E66450}">
      <dgm:prSet phldrT="[Text]"/>
      <dgm:spPr>
        <a:ln>
          <a:solidFill>
            <a:schemeClr val="tx1"/>
          </a:solidFill>
        </a:ln>
      </dgm:spPr>
      <dgm:t>
        <a:bodyPr/>
        <a:lstStyle/>
        <a:p>
          <a:r>
            <a:rPr lang="en-US">
              <a:solidFill>
                <a:sysClr val="windowText" lastClr="000000"/>
              </a:solidFill>
            </a:rPr>
            <a:t>Burn center assesses ability to recieve the number of patients identified.</a:t>
          </a:r>
        </a:p>
      </dgm:t>
    </dgm:pt>
    <dgm:pt modelId="{735EDDA9-FB0A-48E2-9394-44BE68CA96F7}" type="parTrans" cxnId="{63158BBC-63AE-4BBF-9EE4-F77461223A6B}">
      <dgm:prSet/>
      <dgm:spPr/>
      <dgm:t>
        <a:bodyPr/>
        <a:lstStyle/>
        <a:p>
          <a:endParaRPr lang="en-US"/>
        </a:p>
      </dgm:t>
    </dgm:pt>
    <dgm:pt modelId="{74E55BAA-C101-4B0B-A611-22E655AF9693}" type="sibTrans" cxnId="{63158BBC-63AE-4BBF-9EE4-F77461223A6B}">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en-US"/>
        </a:p>
      </dgm:t>
    </dgm:pt>
    <dgm:pt modelId="{6D2075DE-2AE6-4543-86A3-73E641B5159E}">
      <dgm:prSet phldrT="[Text]"/>
      <dgm:spPr>
        <a:ln>
          <a:solidFill>
            <a:schemeClr val="tx1"/>
          </a:solidFill>
        </a:ln>
      </dgm:spPr>
      <dgm:t>
        <a:bodyPr/>
        <a:lstStyle/>
        <a:p>
          <a:r>
            <a:rPr lang="en-US">
              <a:solidFill>
                <a:sysClr val="windowText" lastClr="000000"/>
              </a:solidFill>
            </a:rPr>
            <a:t>If burn center/centers are not able to care for the number of patients they will notify the Metro Healthcare Coalition of the need to activate the MN Burn Surge plan.</a:t>
          </a:r>
        </a:p>
      </dgm:t>
    </dgm:pt>
    <dgm:pt modelId="{55BF5117-1B7D-4727-8BD6-6800B89B3DB3}" type="parTrans" cxnId="{20F7402D-223B-4F8D-9538-A9C29A5E6B85}">
      <dgm:prSet/>
      <dgm:spPr/>
      <dgm:t>
        <a:bodyPr/>
        <a:lstStyle/>
        <a:p>
          <a:endParaRPr lang="en-US"/>
        </a:p>
      </dgm:t>
    </dgm:pt>
    <dgm:pt modelId="{8D018D5F-5194-45E7-8368-A21393BB23CC}" type="sibTrans" cxnId="{20F7402D-223B-4F8D-9538-A9C29A5E6B85}">
      <dgm:prSet/>
      <dgm:spPr/>
      <dgm:t>
        <a:bodyPr/>
        <a:lstStyle/>
        <a:p>
          <a:endParaRPr lang="en-US"/>
        </a:p>
      </dgm:t>
    </dgm:pt>
    <dgm:pt modelId="{C75C36E9-F274-4072-B279-CBF605A6D1C3}">
      <dgm:prSet/>
      <dgm:spPr/>
      <dgm:t>
        <a:bodyPr/>
        <a:lstStyle/>
        <a:p>
          <a:r>
            <a:rPr lang="en-US">
              <a:solidFill>
                <a:sysClr val="windowText" lastClr="000000"/>
              </a:solidFill>
            </a:rPr>
            <a:t>MnTrac alert is sent out to all Burn Facilities and Burn Surge Facilities.</a:t>
          </a:r>
        </a:p>
      </dgm:t>
    </dgm:pt>
    <dgm:pt modelId="{0909ACC1-B814-4A73-A85B-93098B4C2D8D}" type="parTrans" cxnId="{0A1535EC-A9C0-4AFA-80EC-1A365F079D15}">
      <dgm:prSet/>
      <dgm:spPr/>
      <dgm:t>
        <a:bodyPr/>
        <a:lstStyle/>
        <a:p>
          <a:endParaRPr lang="en-US"/>
        </a:p>
      </dgm:t>
    </dgm:pt>
    <dgm:pt modelId="{B3C7F3BB-D7C9-4565-AC16-785411F289B2}" type="sibTrans" cxnId="{0A1535EC-A9C0-4AFA-80EC-1A365F079D15}">
      <dgm:prSet/>
      <dgm:spPr/>
      <dgm:t>
        <a:bodyPr/>
        <a:lstStyle/>
        <a:p>
          <a:endParaRPr lang="en-US"/>
        </a:p>
      </dgm:t>
    </dgm:pt>
    <dgm:pt modelId="{CC7F18B8-200E-459A-B449-D7FEB1F1CD18}" type="pres">
      <dgm:prSet presAssocID="{5AAA3BC2-BC69-40B2-B684-604EC520CD6A}" presName="Name0" presStyleCnt="0">
        <dgm:presLayoutVars>
          <dgm:dir/>
          <dgm:resizeHandles val="exact"/>
        </dgm:presLayoutVars>
      </dgm:prSet>
      <dgm:spPr/>
    </dgm:pt>
    <dgm:pt modelId="{DFB445E5-A4D5-46F1-B2A8-C98588DF99EC}" type="pres">
      <dgm:prSet presAssocID="{006E05BE-F8BB-479E-B852-7DD31FAA2B42}" presName="node" presStyleLbl="node1" presStyleIdx="0" presStyleCnt="6" custLinFactNeighborX="-802" custLinFactNeighborY="668">
        <dgm:presLayoutVars>
          <dgm:bulletEnabled val="1"/>
        </dgm:presLayoutVars>
      </dgm:prSet>
      <dgm:spPr/>
    </dgm:pt>
    <dgm:pt modelId="{9AFF8367-C606-4429-B148-57A03ABAA424}" type="pres">
      <dgm:prSet presAssocID="{5A8BA186-9983-45DF-80A2-BC5ED957293A}" presName="sibTrans" presStyleLbl="sibTrans1D1" presStyleIdx="0" presStyleCnt="5"/>
      <dgm:spPr/>
    </dgm:pt>
    <dgm:pt modelId="{B9921249-3742-49D4-93D4-78F1A67EE11E}" type="pres">
      <dgm:prSet presAssocID="{5A8BA186-9983-45DF-80A2-BC5ED957293A}" presName="connectorText" presStyleLbl="sibTrans1D1" presStyleIdx="0" presStyleCnt="5"/>
      <dgm:spPr/>
    </dgm:pt>
    <dgm:pt modelId="{B6BA9AD1-4252-43A9-AC38-C5A27341B03D}" type="pres">
      <dgm:prSet presAssocID="{875530F5-6C10-4EC1-933C-4F8DA798294F}" presName="node" presStyleLbl="node1" presStyleIdx="1" presStyleCnt="6">
        <dgm:presLayoutVars>
          <dgm:bulletEnabled val="1"/>
        </dgm:presLayoutVars>
      </dgm:prSet>
      <dgm:spPr/>
    </dgm:pt>
    <dgm:pt modelId="{FBCDBA2D-566D-413D-B49B-7F81B633E7A2}" type="pres">
      <dgm:prSet presAssocID="{4B4EA54D-45BF-4D26-A222-4A935852E13A}" presName="sibTrans" presStyleLbl="sibTrans1D1" presStyleIdx="1" presStyleCnt="5"/>
      <dgm:spPr/>
    </dgm:pt>
    <dgm:pt modelId="{6CDAA2C9-296E-42E9-A65B-664F89A3E696}" type="pres">
      <dgm:prSet presAssocID="{4B4EA54D-45BF-4D26-A222-4A935852E13A}" presName="connectorText" presStyleLbl="sibTrans1D1" presStyleIdx="1" presStyleCnt="5"/>
      <dgm:spPr/>
    </dgm:pt>
    <dgm:pt modelId="{FE8584A7-7988-4EFE-AA63-711B22B7D508}" type="pres">
      <dgm:prSet presAssocID="{1D6E24DA-ED5B-4151-A4EE-D764ED117121}" presName="node" presStyleLbl="node1" presStyleIdx="2" presStyleCnt="6">
        <dgm:presLayoutVars>
          <dgm:bulletEnabled val="1"/>
        </dgm:presLayoutVars>
      </dgm:prSet>
      <dgm:spPr/>
    </dgm:pt>
    <dgm:pt modelId="{EB248EBD-ACB7-40D8-9A40-5CBF7F64E728}" type="pres">
      <dgm:prSet presAssocID="{C5995438-3F72-42A5-A3DE-34A9B7A93525}" presName="sibTrans" presStyleLbl="sibTrans1D1" presStyleIdx="2" presStyleCnt="5"/>
      <dgm:spPr/>
    </dgm:pt>
    <dgm:pt modelId="{D43C0325-38B4-454B-83E5-E238706B205B}" type="pres">
      <dgm:prSet presAssocID="{C5995438-3F72-42A5-A3DE-34A9B7A93525}" presName="connectorText" presStyleLbl="sibTrans1D1" presStyleIdx="2" presStyleCnt="5"/>
      <dgm:spPr/>
    </dgm:pt>
    <dgm:pt modelId="{C55F9D7C-CCD6-4A23-8741-5297BDABC8FB}" type="pres">
      <dgm:prSet presAssocID="{AD06232F-0E82-45E5-A416-7DC250E66450}" presName="node" presStyleLbl="node1" presStyleIdx="3" presStyleCnt="6">
        <dgm:presLayoutVars>
          <dgm:bulletEnabled val="1"/>
        </dgm:presLayoutVars>
      </dgm:prSet>
      <dgm:spPr/>
    </dgm:pt>
    <dgm:pt modelId="{D40F95D1-62F3-463B-9C9C-6D93CEFE0055}" type="pres">
      <dgm:prSet presAssocID="{74E55BAA-C101-4B0B-A611-22E655AF9693}" presName="sibTrans" presStyleLbl="sibTrans1D1" presStyleIdx="3" presStyleCnt="5"/>
      <dgm:spPr/>
    </dgm:pt>
    <dgm:pt modelId="{6196F0B7-3E50-4BF4-90E6-604D32344618}" type="pres">
      <dgm:prSet presAssocID="{74E55BAA-C101-4B0B-A611-22E655AF9693}" presName="connectorText" presStyleLbl="sibTrans1D1" presStyleIdx="3" presStyleCnt="5"/>
      <dgm:spPr/>
    </dgm:pt>
    <dgm:pt modelId="{403CF484-F70E-400F-9CB9-6EDEC15933B8}" type="pres">
      <dgm:prSet presAssocID="{6D2075DE-2AE6-4543-86A3-73E641B5159E}" presName="node" presStyleLbl="node1" presStyleIdx="4" presStyleCnt="6">
        <dgm:presLayoutVars>
          <dgm:bulletEnabled val="1"/>
        </dgm:presLayoutVars>
      </dgm:prSet>
      <dgm:spPr/>
    </dgm:pt>
    <dgm:pt modelId="{526AFE79-5F18-4C67-9383-7619D5AB2FC5}" type="pres">
      <dgm:prSet presAssocID="{8D018D5F-5194-45E7-8368-A21393BB23CC}" presName="sibTrans" presStyleLbl="sibTrans1D1" presStyleIdx="4" presStyleCnt="5"/>
      <dgm:spPr/>
    </dgm:pt>
    <dgm:pt modelId="{B3919AF6-2DFE-4276-85F6-B7B1AE89CAA4}" type="pres">
      <dgm:prSet presAssocID="{8D018D5F-5194-45E7-8368-A21393BB23CC}" presName="connectorText" presStyleLbl="sibTrans1D1" presStyleIdx="4" presStyleCnt="5"/>
      <dgm:spPr/>
    </dgm:pt>
    <dgm:pt modelId="{F84C0BE0-8888-4146-8C07-9D56C414EAE6}" type="pres">
      <dgm:prSet presAssocID="{C75C36E9-F274-4072-B279-CBF605A6D1C3}" presName="node" presStyleLbl="node1" presStyleIdx="5" presStyleCnt="6">
        <dgm:presLayoutVars>
          <dgm:bulletEnabled val="1"/>
        </dgm:presLayoutVars>
      </dgm:prSet>
      <dgm:spPr/>
    </dgm:pt>
  </dgm:ptLst>
  <dgm:cxnLst>
    <dgm:cxn modelId="{20F7402D-223B-4F8D-9538-A9C29A5E6B85}" srcId="{5AAA3BC2-BC69-40B2-B684-604EC520CD6A}" destId="{6D2075DE-2AE6-4543-86A3-73E641B5159E}" srcOrd="4" destOrd="0" parTransId="{55BF5117-1B7D-4727-8BD6-6800B89B3DB3}" sibTransId="{8D018D5F-5194-45E7-8368-A21393BB23CC}"/>
    <dgm:cxn modelId="{9911E35B-544F-425D-927B-7C4A74C47D23}" type="presOf" srcId="{5A8BA186-9983-45DF-80A2-BC5ED957293A}" destId="{9AFF8367-C606-4429-B148-57A03ABAA424}" srcOrd="0" destOrd="0" presId="urn:microsoft.com/office/officeart/2005/8/layout/bProcess3"/>
    <dgm:cxn modelId="{05ABCD62-6A2B-4EF1-BF66-E77DB77762F9}" type="presOf" srcId="{C5995438-3F72-42A5-A3DE-34A9B7A93525}" destId="{D43C0325-38B4-454B-83E5-E238706B205B}" srcOrd="1" destOrd="0" presId="urn:microsoft.com/office/officeart/2005/8/layout/bProcess3"/>
    <dgm:cxn modelId="{CB9CE26D-BD4C-414A-8A6A-78DAEBF7245A}" type="presOf" srcId="{1D6E24DA-ED5B-4151-A4EE-D764ED117121}" destId="{FE8584A7-7988-4EFE-AA63-711B22B7D508}" srcOrd="0" destOrd="0" presId="urn:microsoft.com/office/officeart/2005/8/layout/bProcess3"/>
    <dgm:cxn modelId="{12D22955-F786-474D-BF2C-26F9AAA050DA}" type="presOf" srcId="{C5995438-3F72-42A5-A3DE-34A9B7A93525}" destId="{EB248EBD-ACB7-40D8-9A40-5CBF7F64E728}" srcOrd="0" destOrd="0" presId="urn:microsoft.com/office/officeart/2005/8/layout/bProcess3"/>
    <dgm:cxn modelId="{CF6CC257-BC4B-4FBB-A0C3-B593BC946BE2}" type="presOf" srcId="{4B4EA54D-45BF-4D26-A222-4A935852E13A}" destId="{FBCDBA2D-566D-413D-B49B-7F81B633E7A2}" srcOrd="0" destOrd="0" presId="urn:microsoft.com/office/officeart/2005/8/layout/bProcess3"/>
    <dgm:cxn modelId="{1CE5287A-6D73-4164-8059-350D91C4D37F}" srcId="{5AAA3BC2-BC69-40B2-B684-604EC520CD6A}" destId="{1D6E24DA-ED5B-4151-A4EE-D764ED117121}" srcOrd="2" destOrd="0" parTransId="{FB1F6738-52B3-4819-BEAC-90E728786E81}" sibTransId="{C5995438-3F72-42A5-A3DE-34A9B7A93525}"/>
    <dgm:cxn modelId="{53D5AD7B-5C66-4D2F-951B-5A42B48E8F15}" type="presOf" srcId="{6D2075DE-2AE6-4543-86A3-73E641B5159E}" destId="{403CF484-F70E-400F-9CB9-6EDEC15933B8}" srcOrd="0" destOrd="0" presId="urn:microsoft.com/office/officeart/2005/8/layout/bProcess3"/>
    <dgm:cxn modelId="{5C043886-1E4F-49CC-8C80-5D6FBD6CFB81}" type="presOf" srcId="{C75C36E9-F274-4072-B279-CBF605A6D1C3}" destId="{F84C0BE0-8888-4146-8C07-9D56C414EAE6}" srcOrd="0" destOrd="0" presId="urn:microsoft.com/office/officeart/2005/8/layout/bProcess3"/>
    <dgm:cxn modelId="{C8A1AA86-9132-4712-A963-A8C98AC08847}" type="presOf" srcId="{74E55BAA-C101-4B0B-A611-22E655AF9693}" destId="{D40F95D1-62F3-463B-9C9C-6D93CEFE0055}" srcOrd="0" destOrd="0" presId="urn:microsoft.com/office/officeart/2005/8/layout/bProcess3"/>
    <dgm:cxn modelId="{7284A387-E3AD-49D9-8F2F-9B4B9ABED50E}" type="presOf" srcId="{74E55BAA-C101-4B0B-A611-22E655AF9693}" destId="{6196F0B7-3E50-4BF4-90E6-604D32344618}" srcOrd="1" destOrd="0" presId="urn:microsoft.com/office/officeart/2005/8/layout/bProcess3"/>
    <dgm:cxn modelId="{21902188-4F92-4BB8-A853-62D52AEA3EF1}" srcId="{5AAA3BC2-BC69-40B2-B684-604EC520CD6A}" destId="{875530F5-6C10-4EC1-933C-4F8DA798294F}" srcOrd="1" destOrd="0" parTransId="{B2C45135-3954-48B0-855D-588855D846B5}" sibTransId="{4B4EA54D-45BF-4D26-A222-4A935852E13A}"/>
    <dgm:cxn modelId="{A9A01397-03D1-4906-B340-79A8180AE3AF}" type="presOf" srcId="{5AAA3BC2-BC69-40B2-B684-604EC520CD6A}" destId="{CC7F18B8-200E-459A-B449-D7FEB1F1CD18}" srcOrd="0" destOrd="0" presId="urn:microsoft.com/office/officeart/2005/8/layout/bProcess3"/>
    <dgm:cxn modelId="{514F0BA1-BA6C-4D59-A770-125E3AA60A67}" type="presOf" srcId="{AD06232F-0E82-45E5-A416-7DC250E66450}" destId="{C55F9D7C-CCD6-4A23-8741-5297BDABC8FB}" srcOrd="0" destOrd="0" presId="urn:microsoft.com/office/officeart/2005/8/layout/bProcess3"/>
    <dgm:cxn modelId="{4F587BA3-6A4A-4C74-A2CD-D8D1ED526BEB}" type="presOf" srcId="{8D018D5F-5194-45E7-8368-A21393BB23CC}" destId="{526AFE79-5F18-4C67-9383-7619D5AB2FC5}" srcOrd="0" destOrd="0" presId="urn:microsoft.com/office/officeart/2005/8/layout/bProcess3"/>
    <dgm:cxn modelId="{63158BBC-63AE-4BBF-9EE4-F77461223A6B}" srcId="{5AAA3BC2-BC69-40B2-B684-604EC520CD6A}" destId="{AD06232F-0E82-45E5-A416-7DC250E66450}" srcOrd="3" destOrd="0" parTransId="{735EDDA9-FB0A-48E2-9394-44BE68CA96F7}" sibTransId="{74E55BAA-C101-4B0B-A611-22E655AF9693}"/>
    <dgm:cxn modelId="{62EB0AC5-2DBF-478D-A50F-837212D0C347}" type="presOf" srcId="{5A8BA186-9983-45DF-80A2-BC5ED957293A}" destId="{B9921249-3742-49D4-93D4-78F1A67EE11E}" srcOrd="1" destOrd="0" presId="urn:microsoft.com/office/officeart/2005/8/layout/bProcess3"/>
    <dgm:cxn modelId="{A40DD8D5-E85C-4858-AE62-1E1E662DFEC6}" type="presOf" srcId="{006E05BE-F8BB-479E-B852-7DD31FAA2B42}" destId="{DFB445E5-A4D5-46F1-B2A8-C98588DF99EC}" srcOrd="0" destOrd="0" presId="urn:microsoft.com/office/officeart/2005/8/layout/bProcess3"/>
    <dgm:cxn modelId="{E8F280DD-F6CB-4CD2-99C3-920597630F4B}" srcId="{5AAA3BC2-BC69-40B2-B684-604EC520CD6A}" destId="{006E05BE-F8BB-479E-B852-7DD31FAA2B42}" srcOrd="0" destOrd="0" parTransId="{2AB055FE-B176-4D9A-9751-EBAE77A5E4C3}" sibTransId="{5A8BA186-9983-45DF-80A2-BC5ED957293A}"/>
    <dgm:cxn modelId="{36CBD4DE-DBBE-4D82-AEF1-17EE7599C059}" type="presOf" srcId="{4B4EA54D-45BF-4D26-A222-4A935852E13A}" destId="{6CDAA2C9-296E-42E9-A65B-664F89A3E696}" srcOrd="1" destOrd="0" presId="urn:microsoft.com/office/officeart/2005/8/layout/bProcess3"/>
    <dgm:cxn modelId="{0A1535EC-A9C0-4AFA-80EC-1A365F079D15}" srcId="{5AAA3BC2-BC69-40B2-B684-604EC520CD6A}" destId="{C75C36E9-F274-4072-B279-CBF605A6D1C3}" srcOrd="5" destOrd="0" parTransId="{0909ACC1-B814-4A73-A85B-93098B4C2D8D}" sibTransId="{B3C7F3BB-D7C9-4565-AC16-785411F289B2}"/>
    <dgm:cxn modelId="{BE1E55FB-87F4-476E-BAC6-C939712543D9}" type="presOf" srcId="{875530F5-6C10-4EC1-933C-4F8DA798294F}" destId="{B6BA9AD1-4252-43A9-AC38-C5A27341B03D}" srcOrd="0" destOrd="0" presId="urn:microsoft.com/office/officeart/2005/8/layout/bProcess3"/>
    <dgm:cxn modelId="{13846BFE-0F99-42ED-81B9-B2E31B791959}" type="presOf" srcId="{8D018D5F-5194-45E7-8368-A21393BB23CC}" destId="{B3919AF6-2DFE-4276-85F6-B7B1AE89CAA4}" srcOrd="1" destOrd="0" presId="urn:microsoft.com/office/officeart/2005/8/layout/bProcess3"/>
    <dgm:cxn modelId="{F8F8BA73-312A-425D-9F90-1016FF2A465E}" type="presParOf" srcId="{CC7F18B8-200E-459A-B449-D7FEB1F1CD18}" destId="{DFB445E5-A4D5-46F1-B2A8-C98588DF99EC}" srcOrd="0" destOrd="0" presId="urn:microsoft.com/office/officeart/2005/8/layout/bProcess3"/>
    <dgm:cxn modelId="{6CC24C99-514C-43A9-A9AC-36831AD77D25}" type="presParOf" srcId="{CC7F18B8-200E-459A-B449-D7FEB1F1CD18}" destId="{9AFF8367-C606-4429-B148-57A03ABAA424}" srcOrd="1" destOrd="0" presId="urn:microsoft.com/office/officeart/2005/8/layout/bProcess3"/>
    <dgm:cxn modelId="{FEADFDC6-6B42-428C-B14A-7747F110B83E}" type="presParOf" srcId="{9AFF8367-C606-4429-B148-57A03ABAA424}" destId="{B9921249-3742-49D4-93D4-78F1A67EE11E}" srcOrd="0" destOrd="0" presId="urn:microsoft.com/office/officeart/2005/8/layout/bProcess3"/>
    <dgm:cxn modelId="{CF7C0EAA-B6E4-4809-A3BC-B213130E21DB}" type="presParOf" srcId="{CC7F18B8-200E-459A-B449-D7FEB1F1CD18}" destId="{B6BA9AD1-4252-43A9-AC38-C5A27341B03D}" srcOrd="2" destOrd="0" presId="urn:microsoft.com/office/officeart/2005/8/layout/bProcess3"/>
    <dgm:cxn modelId="{7BF33A7F-C64E-4801-A7E8-AE8CA8AA2B67}" type="presParOf" srcId="{CC7F18B8-200E-459A-B449-D7FEB1F1CD18}" destId="{FBCDBA2D-566D-413D-B49B-7F81B633E7A2}" srcOrd="3" destOrd="0" presId="urn:microsoft.com/office/officeart/2005/8/layout/bProcess3"/>
    <dgm:cxn modelId="{1D33CC3D-862F-4CFC-965C-7ABA7B8BB38E}" type="presParOf" srcId="{FBCDBA2D-566D-413D-B49B-7F81B633E7A2}" destId="{6CDAA2C9-296E-42E9-A65B-664F89A3E696}" srcOrd="0" destOrd="0" presId="urn:microsoft.com/office/officeart/2005/8/layout/bProcess3"/>
    <dgm:cxn modelId="{8741DA69-F836-4CA6-973E-BA9714BA715D}" type="presParOf" srcId="{CC7F18B8-200E-459A-B449-D7FEB1F1CD18}" destId="{FE8584A7-7988-4EFE-AA63-711B22B7D508}" srcOrd="4" destOrd="0" presId="urn:microsoft.com/office/officeart/2005/8/layout/bProcess3"/>
    <dgm:cxn modelId="{E4231D09-2EDA-4D7C-87D7-3A99594358EB}" type="presParOf" srcId="{CC7F18B8-200E-459A-B449-D7FEB1F1CD18}" destId="{EB248EBD-ACB7-40D8-9A40-5CBF7F64E728}" srcOrd="5" destOrd="0" presId="urn:microsoft.com/office/officeart/2005/8/layout/bProcess3"/>
    <dgm:cxn modelId="{B360144E-C57C-4B2C-B503-F373F825E105}" type="presParOf" srcId="{EB248EBD-ACB7-40D8-9A40-5CBF7F64E728}" destId="{D43C0325-38B4-454B-83E5-E238706B205B}" srcOrd="0" destOrd="0" presId="urn:microsoft.com/office/officeart/2005/8/layout/bProcess3"/>
    <dgm:cxn modelId="{A6946942-9B73-49B5-A469-75154E2002D4}" type="presParOf" srcId="{CC7F18B8-200E-459A-B449-D7FEB1F1CD18}" destId="{C55F9D7C-CCD6-4A23-8741-5297BDABC8FB}" srcOrd="6" destOrd="0" presId="urn:microsoft.com/office/officeart/2005/8/layout/bProcess3"/>
    <dgm:cxn modelId="{29D3B51A-5E4E-4A2F-81C4-532026A4BAF4}" type="presParOf" srcId="{CC7F18B8-200E-459A-B449-D7FEB1F1CD18}" destId="{D40F95D1-62F3-463B-9C9C-6D93CEFE0055}" srcOrd="7" destOrd="0" presId="urn:microsoft.com/office/officeart/2005/8/layout/bProcess3"/>
    <dgm:cxn modelId="{677D9D0C-9235-4C7E-92FE-1941E4377139}" type="presParOf" srcId="{D40F95D1-62F3-463B-9C9C-6D93CEFE0055}" destId="{6196F0B7-3E50-4BF4-90E6-604D32344618}" srcOrd="0" destOrd="0" presId="urn:microsoft.com/office/officeart/2005/8/layout/bProcess3"/>
    <dgm:cxn modelId="{BD363EC2-F01B-4E02-B92D-BB8D8E70D2BB}" type="presParOf" srcId="{CC7F18B8-200E-459A-B449-D7FEB1F1CD18}" destId="{403CF484-F70E-400F-9CB9-6EDEC15933B8}" srcOrd="8" destOrd="0" presId="urn:microsoft.com/office/officeart/2005/8/layout/bProcess3"/>
    <dgm:cxn modelId="{DD4B4C2A-D8CC-4B0D-9116-CE4F267A0156}" type="presParOf" srcId="{CC7F18B8-200E-459A-B449-D7FEB1F1CD18}" destId="{526AFE79-5F18-4C67-9383-7619D5AB2FC5}" srcOrd="9" destOrd="0" presId="urn:microsoft.com/office/officeart/2005/8/layout/bProcess3"/>
    <dgm:cxn modelId="{2938CD14-84AC-457F-B8C1-490BB8275EF2}" type="presParOf" srcId="{526AFE79-5F18-4C67-9383-7619D5AB2FC5}" destId="{B3919AF6-2DFE-4276-85F6-B7B1AE89CAA4}" srcOrd="0" destOrd="0" presId="urn:microsoft.com/office/officeart/2005/8/layout/bProcess3"/>
    <dgm:cxn modelId="{17FE54EF-BC22-4E85-8496-FD56B17FF565}" type="presParOf" srcId="{CC7F18B8-200E-459A-B449-D7FEB1F1CD18}" destId="{F84C0BE0-8888-4146-8C07-9D56C414EAE6}" srcOrd="10"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F8367-C606-4429-B148-57A03ABAA424}">
      <dsp:nvSpPr>
        <dsp:cNvPr id="0" name=""/>
        <dsp:cNvSpPr/>
      </dsp:nvSpPr>
      <dsp:spPr>
        <a:xfrm>
          <a:off x="1581433" y="897438"/>
          <a:ext cx="337749" cy="91440"/>
        </a:xfrm>
        <a:custGeom>
          <a:avLst/>
          <a:gdLst/>
          <a:ahLst/>
          <a:cxnLst/>
          <a:rect l="0" t="0" r="0" b="0"/>
          <a:pathLst>
            <a:path>
              <a:moveTo>
                <a:pt x="0" y="52065"/>
              </a:moveTo>
              <a:lnTo>
                <a:pt x="185974" y="52065"/>
              </a:lnTo>
              <a:lnTo>
                <a:pt x="185974" y="45720"/>
              </a:lnTo>
              <a:lnTo>
                <a:pt x="337749" y="4572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1098" y="941337"/>
        <a:ext cx="18420" cy="3641"/>
      </dsp:txXfrm>
    </dsp:sp>
    <dsp:sp modelId="{DFB445E5-A4D5-46F1-B2A8-C98588DF99EC}">
      <dsp:nvSpPr>
        <dsp:cNvPr id="0" name=""/>
        <dsp:cNvSpPr/>
      </dsp:nvSpPr>
      <dsp:spPr>
        <a:xfrm>
          <a:off x="0" y="474533"/>
          <a:ext cx="1583233" cy="949940"/>
        </a:xfrm>
        <a:prstGeom prst="rect">
          <a:avLst/>
        </a:prstGeom>
        <a:solidFill>
          <a:schemeClr val="accent2">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EMS dispatch to scene </a:t>
          </a:r>
        </a:p>
      </dsp:txBody>
      <dsp:txXfrm>
        <a:off x="0" y="474533"/>
        <a:ext cx="1583233" cy="949940"/>
      </dsp:txXfrm>
    </dsp:sp>
    <dsp:sp modelId="{FBCDBA2D-566D-413D-B49B-7F81B633E7A2}">
      <dsp:nvSpPr>
        <dsp:cNvPr id="0" name=""/>
        <dsp:cNvSpPr/>
      </dsp:nvSpPr>
      <dsp:spPr>
        <a:xfrm>
          <a:off x="3533016" y="897438"/>
          <a:ext cx="333543" cy="91440"/>
        </a:xfrm>
        <a:custGeom>
          <a:avLst/>
          <a:gdLst/>
          <a:ahLst/>
          <a:cxnLst/>
          <a:rect l="0" t="0" r="0" b="0"/>
          <a:pathLst>
            <a:path>
              <a:moveTo>
                <a:pt x="0" y="45720"/>
              </a:moveTo>
              <a:lnTo>
                <a:pt x="333543" y="4572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90685" y="941337"/>
        <a:ext cx="18207" cy="3641"/>
      </dsp:txXfrm>
    </dsp:sp>
    <dsp:sp modelId="{B6BA9AD1-4252-43A9-AC38-C5A27341B03D}">
      <dsp:nvSpPr>
        <dsp:cNvPr id="0" name=""/>
        <dsp:cNvSpPr/>
      </dsp:nvSpPr>
      <dsp:spPr>
        <a:xfrm>
          <a:off x="1951583" y="468187"/>
          <a:ext cx="1583233" cy="949940"/>
        </a:xfrm>
        <a:prstGeom prst="rect">
          <a:avLst/>
        </a:prstGeom>
        <a:solidFill>
          <a:schemeClr val="accent3">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EMS notifies closest health care facility of incident</a:t>
          </a:r>
        </a:p>
      </dsp:txBody>
      <dsp:txXfrm>
        <a:off x="1951583" y="468187"/>
        <a:ext cx="1583233" cy="949940"/>
      </dsp:txXfrm>
    </dsp:sp>
    <dsp:sp modelId="{EB248EBD-ACB7-40D8-9A40-5CBF7F64E728}">
      <dsp:nvSpPr>
        <dsp:cNvPr id="0" name=""/>
        <dsp:cNvSpPr/>
      </dsp:nvSpPr>
      <dsp:spPr>
        <a:xfrm>
          <a:off x="795822" y="1416328"/>
          <a:ext cx="3894754" cy="333543"/>
        </a:xfrm>
        <a:custGeom>
          <a:avLst/>
          <a:gdLst/>
          <a:ahLst/>
          <a:cxnLst/>
          <a:rect l="0" t="0" r="0" b="0"/>
          <a:pathLst>
            <a:path>
              <a:moveTo>
                <a:pt x="3894754" y="0"/>
              </a:moveTo>
              <a:lnTo>
                <a:pt x="3894754" y="183871"/>
              </a:lnTo>
              <a:lnTo>
                <a:pt x="0" y="183871"/>
              </a:lnTo>
              <a:lnTo>
                <a:pt x="0" y="333543"/>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45406" y="1581279"/>
        <a:ext cx="195587" cy="3641"/>
      </dsp:txXfrm>
    </dsp:sp>
    <dsp:sp modelId="{FE8584A7-7988-4EFE-AA63-711B22B7D508}">
      <dsp:nvSpPr>
        <dsp:cNvPr id="0" name=""/>
        <dsp:cNvSpPr/>
      </dsp:nvSpPr>
      <dsp:spPr>
        <a:xfrm>
          <a:off x="3898960" y="468187"/>
          <a:ext cx="1583233" cy="949940"/>
        </a:xfrm>
        <a:prstGeom prst="rect">
          <a:avLst/>
        </a:prstGeom>
        <a:solidFill>
          <a:schemeClr val="accent4">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Local hospital calls closest Burn Center</a:t>
          </a:r>
        </a:p>
      </dsp:txBody>
      <dsp:txXfrm>
        <a:off x="3898960" y="468187"/>
        <a:ext cx="1583233" cy="949940"/>
      </dsp:txXfrm>
    </dsp:sp>
    <dsp:sp modelId="{D40F95D1-62F3-463B-9C9C-6D93CEFE0055}">
      <dsp:nvSpPr>
        <dsp:cNvPr id="0" name=""/>
        <dsp:cNvSpPr/>
      </dsp:nvSpPr>
      <dsp:spPr>
        <a:xfrm>
          <a:off x="1585639" y="2211521"/>
          <a:ext cx="333543" cy="91440"/>
        </a:xfrm>
        <a:custGeom>
          <a:avLst/>
          <a:gdLst/>
          <a:ahLst/>
          <a:cxnLst/>
          <a:rect l="0" t="0" r="0" b="0"/>
          <a:pathLst>
            <a:path>
              <a:moveTo>
                <a:pt x="0" y="45720"/>
              </a:moveTo>
              <a:lnTo>
                <a:pt x="333543" y="45720"/>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3307" y="2255421"/>
        <a:ext cx="18207" cy="3641"/>
      </dsp:txXfrm>
    </dsp:sp>
    <dsp:sp modelId="{C55F9D7C-CCD6-4A23-8741-5297BDABC8FB}">
      <dsp:nvSpPr>
        <dsp:cNvPr id="0" name=""/>
        <dsp:cNvSpPr/>
      </dsp:nvSpPr>
      <dsp:spPr>
        <a:xfrm>
          <a:off x="4205" y="1782271"/>
          <a:ext cx="1583233" cy="949940"/>
        </a:xfrm>
        <a:prstGeom prst="rect">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Burn center assesses ability to recieve the number of patients identified.</a:t>
          </a:r>
        </a:p>
      </dsp:txBody>
      <dsp:txXfrm>
        <a:off x="4205" y="1782271"/>
        <a:ext cx="1583233" cy="949940"/>
      </dsp:txXfrm>
    </dsp:sp>
    <dsp:sp modelId="{526AFE79-5F18-4C67-9383-7619D5AB2FC5}">
      <dsp:nvSpPr>
        <dsp:cNvPr id="0" name=""/>
        <dsp:cNvSpPr/>
      </dsp:nvSpPr>
      <dsp:spPr>
        <a:xfrm>
          <a:off x="3533016" y="2211521"/>
          <a:ext cx="333543" cy="91440"/>
        </a:xfrm>
        <a:custGeom>
          <a:avLst/>
          <a:gdLst/>
          <a:ahLst/>
          <a:cxnLst/>
          <a:rect l="0" t="0" r="0" b="0"/>
          <a:pathLst>
            <a:path>
              <a:moveTo>
                <a:pt x="0" y="45720"/>
              </a:moveTo>
              <a:lnTo>
                <a:pt x="333543"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90685" y="2255421"/>
        <a:ext cx="18207" cy="3641"/>
      </dsp:txXfrm>
    </dsp:sp>
    <dsp:sp modelId="{403CF484-F70E-400F-9CB9-6EDEC15933B8}">
      <dsp:nvSpPr>
        <dsp:cNvPr id="0" name=""/>
        <dsp:cNvSpPr/>
      </dsp:nvSpPr>
      <dsp:spPr>
        <a:xfrm>
          <a:off x="1951583" y="1782271"/>
          <a:ext cx="1583233" cy="949940"/>
        </a:xfrm>
        <a:prstGeom prst="rect">
          <a:avLst/>
        </a:prstGeom>
        <a:solidFill>
          <a:schemeClr val="accent6">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If burn center/centers are not able to care for the number of patients they will notify the Metro Healthcare Coalition of the need to activate the MN Burn Surge plan.</a:t>
          </a:r>
        </a:p>
      </dsp:txBody>
      <dsp:txXfrm>
        <a:off x="1951583" y="1782271"/>
        <a:ext cx="1583233" cy="949940"/>
      </dsp:txXfrm>
    </dsp:sp>
    <dsp:sp modelId="{F84C0BE0-8888-4146-8C07-9D56C414EAE6}">
      <dsp:nvSpPr>
        <dsp:cNvPr id="0" name=""/>
        <dsp:cNvSpPr/>
      </dsp:nvSpPr>
      <dsp:spPr>
        <a:xfrm>
          <a:off x="3898960" y="1782271"/>
          <a:ext cx="1583233" cy="94994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MnTrac alert is sent out to all Burn Facilities and Burn Surge Facilities.</a:t>
          </a:r>
        </a:p>
      </dsp:txBody>
      <dsp:txXfrm>
        <a:off x="3898960" y="1782271"/>
        <a:ext cx="1583233" cy="94994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0EDDF6-33CC-4308-A511-DD4C9596A737}">
  <ds:schemaRefs>
    <ds:schemaRef ds:uri="http://schemas.microsoft.com/sharepoint/v3/contenttype/forms"/>
  </ds:schemaRefs>
</ds:datastoreItem>
</file>

<file path=customXml/itemProps3.xml><?xml version="1.0" encoding="utf-8"?>
<ds:datastoreItem xmlns:ds="http://schemas.openxmlformats.org/officeDocument/2006/customXml" ds:itemID="{86985F92-749D-4462-BD13-0A5AA2AD4445}">
  <ds:schemaRefs>
    <ds:schemaRef ds:uri="153508d8-27db-4d8a-8db6-5a3262c06944"/>
    <ds:schemaRef ds:uri="http://www.w3.org/XML/1998/namespace"/>
    <ds:schemaRef ds:uri="http://schemas.microsoft.com/office/2006/documentManagement/types"/>
    <ds:schemaRef ds:uri="8df87aae-e328-4986-a8c9-261637ff1b68"/>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7B057D6-7D46-46C6-BCF4-08578B1814A6}">
  <ds:schemaRefs>
    <ds:schemaRef ds:uri="http://schemas.openxmlformats.org/officeDocument/2006/bibliography"/>
  </ds:schemaRefs>
</ds:datastoreItem>
</file>

<file path=customXml/itemProps5.xml><?xml version="1.0" encoding="utf-8"?>
<ds:datastoreItem xmlns:ds="http://schemas.openxmlformats.org/officeDocument/2006/customXml" ds:itemID="{85BB13EE-9E9C-4D77-B1A3-F742CF3BF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4</TotalTime>
  <Pages>9</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Appendix 3.5.1.1 wcmhpc regional burn surge plan</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3.5.1.1 wcmhpc regional burn surge plan</dc:title>
  <dc:creator>Shawn Stoen, RHPC</dc:creator>
  <cp:keywords/>
  <cp:lastModifiedBy>Stoen, Shawn</cp:lastModifiedBy>
  <cp:revision>4</cp:revision>
  <cp:lastPrinted>2018-05-18T20:58:00Z</cp:lastPrinted>
  <dcterms:created xsi:type="dcterms:W3CDTF">2023-06-06T01:38:00Z</dcterms:created>
  <dcterms:modified xsi:type="dcterms:W3CDTF">2023-06-06T01:41:00Z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