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10150343"/>
        <w:docPartObj>
          <w:docPartGallery w:val="Cover Pages"/>
          <w:docPartUnique/>
        </w:docPartObj>
      </w:sdtPr>
      <w:sdtEndPr>
        <w:rPr>
          <w:noProof/>
          <w:color w:val="242852" w:themeColor="text2"/>
          <w:sz w:val="32"/>
          <w:szCs w:val="32"/>
        </w:rPr>
      </w:sdtEndPr>
      <w:sdtContent>
        <w:p w14:paraId="2035B7BD" w14:textId="77777777" w:rsidR="0027159A" w:rsidRDefault="0027159A"/>
        <w:p w14:paraId="5C377B78" w14:textId="43CBB06D" w:rsidR="0027159A" w:rsidRDefault="008F52C1">
          <w:pPr>
            <w:rPr>
              <w:noProof/>
              <w:color w:val="242852" w:themeColor="text2"/>
              <w:sz w:val="32"/>
              <w:szCs w:val="32"/>
            </w:rPr>
          </w:pPr>
          <w:r>
            <w:rPr>
              <w:noProof/>
            </w:rPr>
            <mc:AlternateContent>
              <mc:Choice Requires="wpg">
                <w:drawing>
                  <wp:anchor distT="0" distB="0" distL="114300" distR="114300" simplePos="0" relativeHeight="251659264" behindDoc="0" locked="0" layoutInCell="1" allowOverlap="1" wp14:anchorId="3C74B3B0" wp14:editId="183FDEFE">
                    <wp:simplePos x="0" y="0"/>
                    <wp:positionH relativeFrom="page">
                      <wp:posOffset>400050</wp:posOffset>
                    </wp:positionH>
                    <wp:positionV relativeFrom="page">
                      <wp:posOffset>457200</wp:posOffset>
                    </wp:positionV>
                    <wp:extent cx="238125" cy="9144000"/>
                    <wp:effectExtent l="0" t="0" r="9525" b="19685"/>
                    <wp:wrapNone/>
                    <wp:docPr id="38" name="Group 38" title="Decorative sidebar"/>
                    <wp:cNvGraphicFramePr/>
                    <a:graphic xmlns:a="http://schemas.openxmlformats.org/drawingml/2006/main">
                      <a:graphicData uri="http://schemas.microsoft.com/office/word/2010/wordprocessingGroup">
                        <wpg:wgp>
                          <wpg:cNvGrpSpPr/>
                          <wpg:grpSpPr>
                            <a:xfrm>
                              <a:off x="0" y="0"/>
                              <a:ext cx="238125" cy="9144000"/>
                              <a:chOff x="-9525" y="0"/>
                              <a:chExt cx="238125" cy="9144000"/>
                            </a:xfrm>
                          </wpg:grpSpPr>
                          <wps:wsp>
                            <wps:cNvPr id="39" name="Rectangle 39"/>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9525" y="8915400"/>
                                <a:ext cx="228600" cy="228600"/>
                              </a:xfrm>
                              <a:prstGeom prst="rect">
                                <a:avLst/>
                              </a:prstGeom>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90900</wp14:pctHeight>
                    </wp14:sizeRelV>
                  </wp:anchor>
                </w:drawing>
              </mc:Choice>
              <mc:Fallback>
                <w:pict>
                  <v:group w14:anchorId="67348376" id="Group 38" o:spid="_x0000_s1026" alt="Title: Decorative sidebar" style="position:absolute;margin-left:31.5pt;margin-top:36pt;width:18.75pt;height:10in;z-index:251659264;mso-height-percent:909;mso-position-horizontal-relative:page;mso-position-vertical-relative:page;mso-height-percent:909" coordorigin="-95" coordsize="2381,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cASQMAAIEKAAAOAAAAZHJzL2Uyb0RvYy54bWzsVltP2zAUfp+0/2D5HdKmLZSIFFVloEkI&#10;EDDxbByniebYnu2Ssl+/c5xLoWOIgTZp0l5SX871y3e+5vBoXUlyL6wrtUrpcHdAiVBcZ6VapvTL&#10;zcnOlBLnmcqY1Eqk9EE4ejT7+OGwNomIdaFlJiyBIMoltUlp4b1JosjxQlTM7WojFFzm2lbMw9Yu&#10;o8yyGqJXMooHg72o1jYzVnPhHJweN5d0FuLnueD+Is+d8ESmFGrz4WnD8w6f0eyQJUvLTFHytgz2&#10;hioqVipI2oc6Zp6RlS1/ClWV3Gqnc7/LdRXpPC+5CD1AN8PBVjenVq9M6GWZ1EvTwwTQbuH05rD8&#10;/P7UmmtzaQGJ2iwBi7DDXta5rfAXqiTrANlDD5lYe8LhMB5Nh/GEEg5XB8PxeDBoMeUFAI9uOwcT&#10;NNi48uLTy85Rlzp6UlBtgCJug4J7HwrXBTMigOsSQOHSkjJL6eiAEsUqYOoVcIeppRQEzgI4wa6H&#10;yiUOUHs1TvF0D6AJOE33p/FgEnDqW2WJsc6fCl0RXKTUQvrAKHZ/5jzkB9POBJM6LcvspJQybHBc&#10;xEJacs+A6IxzoXyMVYPXE0up0F5p9Gyu8QSA7toJK/8gBdpJdSVywAVfdCgmzOV2omFzVbBMNPkn&#10;wIKuvd4j1BICYuQc8vex2wDPNTFsm2jt0VWEse6dBy8V1rTYe4TMWvneuSqVts8FkL7P3Nh3IDXQ&#10;IEp3OnsA1ljdiIoz/KSEV3fGnL9kFlQEXjcoo7+ARy51nVLdrigptP3+3DnaA63hlpIaVCml7tuK&#10;WUGJ/KyA8GHEQMbCZjzZjyGHfXxz9/hGraqFBj4MQYMND0u097Jb5lZXtyCgc8wKV0xxyJ1S7m23&#10;WfhGLUGCuZjPgxlIl2H+TF0bjsERVaTmzfqWWdPy14NCnOtuyFiyRePGFj2Vnq+8zsvA8Q2uLd4w&#10;8KhLf2Hyx9D/9uTDGTAI04NC4ORjwc6caf7VEaUXBQiEmDsDs4pAINueGOPmFyqxkcXpwXACuone&#10;QO5OGh/pRdysGy53otxpwSvlQqquuKaeUNnvjfmomZM/Muaj94x55/x/zP/tMQ9/9/CdE/4p2m8y&#10;/JB6vA8TtvlynP0AAAD//wMAUEsDBBQABgAIAAAAIQDQRPsh3QAAAAoBAAAPAAAAZHJzL2Rvd25y&#10;ZXYueG1sTI/LTsMwEEX3SPyDNUjsqJ2gBhTiVDxUNqwor60bD0mEPQ6x06Z/z3RVVvO4ozvnVqvZ&#10;O7HDMfaBNGQLBQKpCbanVsP72/rqFkRMhqxxgVDDASOs6vOzypQ27OkVd5vUCjahWBoNXUpDKWVs&#10;OvQmLsKAxNp3GL1JPI6ttKPZs7l3MleqkN70xB86M+Bjh83PZvIa8LM9ZF/uJX+Yp6d1Mzz/2uGj&#10;0PryYr6/A5FwTqdjOOIzOtTMtA0T2SichuKaoyQNNznXo67UEsSWm2XGK1lX8n+E+g8AAP//AwBQ&#10;SwECLQAUAAYACAAAACEAtoM4kv4AAADhAQAAEwAAAAAAAAAAAAAAAAAAAAAAW0NvbnRlbnRfVHlw&#10;ZXNdLnhtbFBLAQItABQABgAIAAAAIQA4/SH/1gAAAJQBAAALAAAAAAAAAAAAAAAAAC8BAABfcmVs&#10;cy8ucmVsc1BLAQItABQABgAIAAAAIQAHTJcASQMAAIEKAAAOAAAAAAAAAAAAAAAAAC4CAABkcnMv&#10;ZTJvRG9jLnhtbFBLAQItABQABgAIAAAAIQDQRPsh3QAAAAoBAAAPAAAAAAAAAAAAAAAAAKMFAABk&#10;cnMvZG93bnJldi54bWxQSwUGAAAAAAQABADzAAAArQYAAAAA&#10;">
                    <v:rect id="Rectangle 39"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9rwgAAANsAAAAPAAAAZHJzL2Rvd25yZXYueG1sRI/disIw&#10;FITvF/Ydwlnwbk1XUbSallUURLzx5wGOzbHtbnNSmljr2xtB8HKYmW+YedqZSrTUuNKygp9+BII4&#10;s7rkXMHpuP6egHAeWWNlmRTcyUGafH7MMdb2xntqDz4XAcIuRgWF93UspcsKMuj6tiYO3sU2Bn2Q&#10;TS51g7cAN5UcRNFYGiw5LBRY07Kg7P9wNQpWxo52f9PWrAfl2crxhP1iy0r1vrrfGQhPnX+HX+2N&#10;VjCcwvNL+AEyeQAAAP//AwBQSwECLQAUAAYACAAAACEA2+H2y+4AAACFAQAAEwAAAAAAAAAAAAAA&#10;AAAAAAAAW0NvbnRlbnRfVHlwZXNdLnhtbFBLAQItABQABgAIAAAAIQBa9CxbvwAAABUBAAALAAAA&#10;AAAAAAAAAAAAAB8BAABfcmVscy8ucmVsc1BLAQItABQABgAIAAAAIQAgG+9rwgAAANsAAAAPAAAA&#10;AAAAAAAAAAAAAAcCAABkcnMvZG93bnJldi54bWxQSwUGAAAAAAMAAwC3AAAA9gIAAAAA&#10;" fillcolor="#903 [3205]" stroked="f" strokeweight="1pt"/>
                    <v:rect id="Rectangle 40" o:spid="_x0000_s1028" style="position:absolute;left:-95;top:89154;width:2285;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2NwAAAANsAAAAPAAAAZHJzL2Rvd25yZXYueG1sRE9Ni8Iw&#10;EL0L+x/CLHjTdK0u3WoUEQQPXrSy56GZbYvNJNtErf56cxA8Pt73YtWbVlyp841lBV/jBARxaXXD&#10;lYJTsR1lIHxA1thaJgV38rBafgwWmGt74wNdj6ESMYR9jgrqEFwupS9rMujH1hFH7s92BkOEXSV1&#10;h7cYblo5SZJvabDh2FCjo01N5fl4MQp+Mve/PqQypH3Gbj/5LdLZ/qHU8LNfz0EE6sNb/HLvtIJp&#10;XB+/xB8gl08AAAD//wMAUEsBAi0AFAAGAAgAAAAhANvh9svuAAAAhQEAABMAAAAAAAAAAAAAAAAA&#10;AAAAAFtDb250ZW50X1R5cGVzXS54bWxQSwECLQAUAAYACAAAACEAWvQsW78AAAAVAQAACwAAAAAA&#10;AAAAAAAAAAAfAQAAX3JlbHMvLnJlbHNQSwECLQAUAAYACAAAACEAMQNtjcAAAADbAAAADwAAAAAA&#10;AAAAAAAAAAAHAgAAZHJzL2Rvd25yZXYueG1sUEsFBgAAAAADAAMAtwAAAPQCAAAAAA==&#10;" fillcolor="#060 [3206]" strokecolor="#003200 [1606]" strokeweight="1pt">
                      <v:path arrowok="t"/>
                      <o:lock v:ext="edit" aspectratio="t"/>
                    </v:rect>
                    <w10:wrap anchorx="page" anchory="page"/>
                  </v:group>
                </w:pict>
              </mc:Fallback>
            </mc:AlternateContent>
          </w:r>
          <w:r w:rsidR="00115477">
            <w:rPr>
              <w:noProof/>
            </w:rPr>
            <mc:AlternateContent>
              <mc:Choice Requires="wps">
                <w:drawing>
                  <wp:anchor distT="0" distB="0" distL="114300" distR="114300" simplePos="0" relativeHeight="251661312" behindDoc="0" locked="1" layoutInCell="1" allowOverlap="1" wp14:anchorId="19B07BD1" wp14:editId="783C153E">
                    <wp:simplePos x="0" y="0"/>
                    <wp:positionH relativeFrom="margin">
                      <wp:posOffset>4105275</wp:posOffset>
                    </wp:positionH>
                    <wp:positionV relativeFrom="page">
                      <wp:posOffset>8420100</wp:posOffset>
                    </wp:positionV>
                    <wp:extent cx="1841500" cy="276225"/>
                    <wp:effectExtent l="0" t="0" r="6350" b="952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18415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BA06D0" w14:textId="5A887AD5" w:rsidR="009E7127" w:rsidRDefault="00AA124B">
                                <w:pPr>
                                  <w:pStyle w:val="Contactinfo"/>
                                </w:pPr>
                                <w:r>
                                  <w:t>May 2022</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9B07BD1" id="_x0000_t202" coordsize="21600,21600" o:spt="202" path="m,l,21600r21600,l21600,xe">
                    <v:stroke joinstyle="miter"/>
                    <v:path gradientshapeok="t" o:connecttype="rect"/>
                  </v:shapetype>
                  <v:shape id="Text Box 35" o:spid="_x0000_s1026" type="#_x0000_t202" alt="Presenter, company name and address" style="position:absolute;left:0;text-align:left;margin-left:323.25pt;margin-top:663pt;width:14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x/XgIAAC0FAAAOAAAAZHJzL2Uyb0RvYy54bWysVE1v2zAMvQ/YfxB0X+xkS1YEdYqsRYcB&#10;QVs0HXpWZKkxJosapcTOfv0o2U6KbJcOu8i0+Pj1SOryqq0N2yv0FdiCj0c5Z8pKKCv7UvDvT7cf&#10;LjjzQdhSGLCq4Afl+dXi/bvLxs3VBLZgSoWMnFg/b1zBtyG4eZZ5uVW18CNwypJSA9Yi0C++ZCWK&#10;hrzXJpvk+SxrAEuHIJX3dHvTKfki+ddayXCvtVeBmYJTbiGdmM5NPLPFpZi/oHDbSvZpiH/IohaV&#10;paBHVzciCLbD6g9XdSURPOgwklBnoHUlVaqBqhnnZ9Wst8KpVAuR492RJv//3Mq7/do9IAvtF2ip&#10;gZGQxvm5p8tYT6uxjl/KlJGeKDwcaVNtYDIaXXwaT3NSSdJNPs8mk2l0k52sHfrwVUHNolBwpLYk&#10;tsR+5UMHHSAxmIXbypjUGmNZU/DZx2meDI4acm5sxKrU5N7NKfMkhYNREWPso9KsKlMB8SKNl7o2&#10;yPaCBkNIqWxItSe/hI4oTUm8xbDHn7J6i3FXxxAZbDga15UFTNWfpV3+GFLWHZ44f1V3FEO7afuO&#10;bqA8UKMRuh3wTt5W1I2V8OFBIA09NZAWOdzToQ0Q69BLnG0Bf/3tPuJpFknLWUNLVHD/cydQcWa+&#10;WZrSuHGDgIOwGQS7q6+B6B/TE+FkEskAgxlEjVA/034vYxRSCSspVsE3g3gdulWm90Gq5TKBaK+c&#10;CCu7djK6jt2Is/XUPgt0/QAGGt07GNZLzM/msMNGSwvLXQBdpSGNhHYs9kTTTqYx79+PuPSv/xPq&#10;9MotfgMAAP//AwBQSwMEFAAGAAgAAAAhAN9cjeThAAAADQEAAA8AAABkcnMvZG93bnJldi54bWxM&#10;j0tPwzAQhO9I/AdrkbhRpw2xaIhTISqEkDjQ8jg78ZJEje0odh7l17M5wXFnPs3OZLvZtGzE3jfO&#10;SlivImBoS6cbW0n4eH+6uQPmg7Jatc6ihDN62OWXF5lKtZvsAcdjqBiFWJ8qCXUIXcq5L2s0yq9c&#10;h5a8b9cbFejsK657NVG4afkmigQ3qrH0oVYdPtZYno6DkfD2U3yK16/hPO1f9uMBT89Dso6lvL6a&#10;H+6BBZzDHwxLfaoOOXUq3GC1Z60EcSsSQsmIN4JWEbKNF6lYJLFNgOcZ/78i/wUAAP//AwBQSwEC&#10;LQAUAAYACAAAACEAtoM4kv4AAADhAQAAEwAAAAAAAAAAAAAAAAAAAAAAW0NvbnRlbnRfVHlwZXNd&#10;LnhtbFBLAQItABQABgAIAAAAIQA4/SH/1gAAAJQBAAALAAAAAAAAAAAAAAAAAC8BAABfcmVscy8u&#10;cmVsc1BLAQItABQABgAIAAAAIQB/byx/XgIAAC0FAAAOAAAAAAAAAAAAAAAAAC4CAABkcnMvZTJv&#10;RG9jLnhtbFBLAQItABQABgAIAAAAIQDfXI3k4QAAAA0BAAAPAAAAAAAAAAAAAAAAALgEAABkcnMv&#10;ZG93bnJldi54bWxQSwUGAAAAAAQABADzAAAAxgUAAAAA&#10;" filled="f" stroked="f" strokeweight=".5pt">
                    <v:textbox inset="0,0,0,0">
                      <w:txbxContent>
                        <w:p w14:paraId="15BA06D0" w14:textId="5A887AD5" w:rsidR="009E7127" w:rsidRDefault="00AA124B">
                          <w:pPr>
                            <w:pStyle w:val="Contactinfo"/>
                          </w:pPr>
                          <w:r>
                            <w:t>May 2022</w:t>
                          </w:r>
                        </w:p>
                      </w:txbxContent>
                    </v:textbox>
                    <w10:wrap type="square" anchorx="margin" anchory="page"/>
                    <w10:anchorlock/>
                  </v:shape>
                </w:pict>
              </mc:Fallback>
            </mc:AlternateContent>
          </w:r>
          <w:r w:rsidR="00115477">
            <w:rPr>
              <w:noProof/>
            </w:rPr>
            <mc:AlternateContent>
              <mc:Choice Requires="wps">
                <w:drawing>
                  <wp:anchor distT="0" distB="0" distL="114300" distR="114300" simplePos="0" relativeHeight="251660288" behindDoc="0" locked="1" layoutInCell="1" allowOverlap="1" wp14:anchorId="3E4EA40E" wp14:editId="3A7556E5">
                    <wp:simplePos x="0" y="0"/>
                    <wp:positionH relativeFrom="margin">
                      <wp:posOffset>46990</wp:posOffset>
                    </wp:positionH>
                    <wp:positionV relativeFrom="page">
                      <wp:posOffset>4581525</wp:posOffset>
                    </wp:positionV>
                    <wp:extent cx="7038975" cy="3543300"/>
                    <wp:effectExtent l="0" t="0" r="9525" b="0"/>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7038975" cy="3543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04D67D" w14:textId="03CE092C" w:rsidR="009E7127" w:rsidRPr="005D3B38" w:rsidRDefault="002C33D4"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00425E">
                                      <w:rPr>
                                        <w:sz w:val="40"/>
                                        <w:szCs w:val="40"/>
                                      </w:rPr>
                                      <w:t xml:space="preserve">.1 </w:t>
                                    </w:r>
                                    <w:r w:rsidR="009E7127" w:rsidRPr="005D3B38">
                                      <w:rPr>
                                        <w:sz w:val="40"/>
                                        <w:szCs w:val="40"/>
                                      </w:rPr>
                                      <w:t xml:space="preserve">cmhpc </w:t>
                                    </w:r>
                                    <w:r w:rsidR="0000425E">
                                      <w:rPr>
                                        <w:sz w:val="40"/>
                                        <w:szCs w:val="40"/>
                                      </w:rPr>
                                      <w:t>burn</w:t>
                                    </w:r>
                                    <w:r w:rsidR="009E7127">
                                      <w:rPr>
                                        <w:sz w:val="40"/>
                                        <w:szCs w:val="40"/>
                                      </w:rPr>
                                      <w:t xml:space="preserve"> surge </w:t>
                                    </w:r>
                                    <w:r w:rsidR="0000425E">
                                      <w:rPr>
                                        <w:sz w:val="40"/>
                                        <w:szCs w:val="40"/>
                                      </w:rPr>
                                      <w:t>plan</w:t>
                                    </w:r>
                                  </w:sdtContent>
                                </w:sdt>
                                <w:r w:rsidR="009E7127" w:rsidRPr="005D3B38">
                                  <w:rPr>
                                    <w:sz w:val="40"/>
                                    <w:szCs w:val="4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E4EA40E" id="Text Box 37" o:spid="_x0000_s1027" type="#_x0000_t202" alt="Title and subtitle" style="position:absolute;left:0;text-align:left;margin-left:3.7pt;margin-top:360.75pt;width:554.25pt;height:27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EMZAIAADUFAAAOAAAAZHJzL2Uyb0RvYy54bWysVE1v2zAMvQ/YfxB0X+00S9sFcYqsRYYB&#10;RVusHXpWZCkxJosapcTOfv0o2U6KbJcOu8i0+Pj1SGp23daG7RT6CmzBR2c5Z8pKKCu7Lvj35+WH&#10;K858ELYUBqwq+F55fj1//27WuKk6hw2YUiEjJ9ZPG1fwTQhummVeblQt/Bk4ZUmpAWsR6BfXWYmi&#10;Ie+1yc7z/CJrAEuHIJX3dHvbKfk8+ddayfCgtVeBmYJTbiGdmM5VPLP5TEzXKNymkn0a4h+yqEVl&#10;KejB1a0Igm2x+sNVXUkEDzqcSagz0LqSKtVA1Yzyk2qeNsKpVAuR492BJv//3Mr73ZN7RBbaz9BS&#10;AyMhjfNTT5exnlZjHb+UKSM9Ubg/0KbawCRdXubjq0+XE84k6caTj+NxnojNjuYOffiioGZRKDhS&#10;XxJdYnfnA4Uk6ACJ0SwsK2NSb4xlTcEvxpM8GRw0ZGFsxKrU5d7NMfUkhb1REWPsN6VZVaYK4kWa&#10;L3VjkO0ETYaQUtmQik9+CR1RmpJ4i2GPP2b1FuOujiEy2HAwrisLmKo/Sbv8MaSsOzwR+aruKIZ2&#10;1VLhrzq7gnJPDUfodsE7uayoKXfCh0eBNPzUY1ro8ECHNkDkQy9xtgH89bf7iKeZJC1nDS1Twf3P&#10;rUDFmflqaVrj5g0CDsJqEOy2vgHqwoieCieTSAYYzCBqhPqF9nwRo5BKWEmxCr4axJvQrTS9E1It&#10;FglE++VEuLNPTkbXsSlxxJ7bF4Gun8NAI3wPw5qJ6ck4dthoaWGxDaCrNKuR147Fnm/azTTC/TsS&#10;l//1f0IdX7v5bwAAAP//AwBQSwMEFAAGAAgAAAAhABsc1UDiAAAACwEAAA8AAABkcnMvZG93bnJl&#10;di54bWxMj0tPwzAQhO9I/AdrkbhRx4G0NMSpEBVCSD3Q8jg78ZJEjddR7DzKr8c9wWl3NaPZb7LN&#10;bFo2Yu8aSxLEIgKGVFrdUCXh4/355h6Y84q0ai2hhBM62OSXF5lKtZ1oj+PBVyyEkEuVhNr7LuXc&#10;lTUa5Ra2Qwrat+2N8uHsK657NYVw0/I4ipbcqIbCh1p1+FRjeTwMRsLbT/G53H0Np2n7uh33eHwZ&#10;EnEr5fXV/PgAzOPs/8xwxg/okAemwg6kHWslrO6CMYxYJMDOuhDJGlgRtni1ToDnGf/fIf8FAAD/&#10;/wMAUEsBAi0AFAAGAAgAAAAhALaDOJL+AAAA4QEAABMAAAAAAAAAAAAAAAAAAAAAAFtDb250ZW50&#10;X1R5cGVzXS54bWxQSwECLQAUAAYACAAAACEAOP0h/9YAAACUAQAACwAAAAAAAAAAAAAAAAAvAQAA&#10;X3JlbHMvLnJlbHNQSwECLQAUAAYACAAAACEAcH9xDGQCAAA1BQAADgAAAAAAAAAAAAAAAAAuAgAA&#10;ZHJzL2Uyb0RvYy54bWxQSwECLQAUAAYACAAAACEAGxzVQOIAAAALAQAADwAAAAAAAAAAAAAAAAC+&#10;BAAAZHJzL2Rvd25yZXYueG1sUEsFBgAAAAAEAAQA8wAAAM0FAAAAAA==&#10;" filled="f" stroked="f" strokeweight=".5pt">
                    <v:textbox inset="0,0,0,0">
                      <w:txbxContent>
                        <w:p w14:paraId="5C04D67D" w14:textId="03CE092C" w:rsidR="009E7127" w:rsidRPr="005D3B38" w:rsidRDefault="002C33D4" w:rsidP="008B6F13">
                          <w:pPr>
                            <w:pStyle w:val="Title"/>
                            <w:jc w:val="left"/>
                            <w:rPr>
                              <w:sz w:val="40"/>
                              <w:szCs w:val="40"/>
                            </w:rPr>
                          </w:pPr>
                          <w:sdt>
                            <w:sdtPr>
                              <w:rPr>
                                <w:sz w:val="40"/>
                                <w:szCs w:val="40"/>
                              </w:rPr>
                              <w:alias w:val="Title"/>
                              <w:tag w:val=""/>
                              <w:id w:val="-956486543"/>
                              <w:dataBinding w:prefixMappings="xmlns:ns0='http://purl.org/dc/elements/1.1/' xmlns:ns1='http://schemas.openxmlformats.org/package/2006/metadata/core-properties' " w:xpath="/ns1:coreProperties[1]/ns0:title[1]" w:storeItemID="{6C3C8BC8-F283-45AE-878A-BAB7291924A1}"/>
                              <w:text/>
                            </w:sdtPr>
                            <w:sdtEndPr/>
                            <w:sdtContent>
                              <w:r w:rsidR="009E7127" w:rsidRPr="005D3B38">
                                <w:rPr>
                                  <w:sz w:val="40"/>
                                  <w:szCs w:val="40"/>
                                </w:rPr>
                                <w:t>Appendix 3.5.</w:t>
                              </w:r>
                              <w:r w:rsidR="009E7127">
                                <w:rPr>
                                  <w:sz w:val="40"/>
                                  <w:szCs w:val="40"/>
                                </w:rPr>
                                <w:t>1</w:t>
                              </w:r>
                              <w:r w:rsidR="0000425E">
                                <w:rPr>
                                  <w:sz w:val="40"/>
                                  <w:szCs w:val="40"/>
                                </w:rPr>
                                <w:t xml:space="preserve">.1 </w:t>
                              </w:r>
                              <w:r w:rsidR="009E7127" w:rsidRPr="005D3B38">
                                <w:rPr>
                                  <w:sz w:val="40"/>
                                  <w:szCs w:val="40"/>
                                </w:rPr>
                                <w:t xml:space="preserve">cmhpc </w:t>
                              </w:r>
                              <w:r w:rsidR="0000425E">
                                <w:rPr>
                                  <w:sz w:val="40"/>
                                  <w:szCs w:val="40"/>
                                </w:rPr>
                                <w:t>burn</w:t>
                              </w:r>
                              <w:r w:rsidR="009E7127">
                                <w:rPr>
                                  <w:sz w:val="40"/>
                                  <w:szCs w:val="40"/>
                                </w:rPr>
                                <w:t xml:space="preserve"> surge </w:t>
                              </w:r>
                              <w:r w:rsidR="0000425E">
                                <w:rPr>
                                  <w:sz w:val="40"/>
                                  <w:szCs w:val="40"/>
                                </w:rPr>
                                <w:t>plan</w:t>
                              </w:r>
                            </w:sdtContent>
                          </w:sdt>
                          <w:r w:rsidR="009E7127" w:rsidRPr="005D3B38">
                            <w:rPr>
                              <w:sz w:val="40"/>
                              <w:szCs w:val="40"/>
                            </w:rPr>
                            <w:t xml:space="preserve"> </w:t>
                          </w:r>
                        </w:p>
                      </w:txbxContent>
                    </v:textbox>
                    <w10:wrap type="square" anchorx="margin" anchory="page"/>
                    <w10:anchorlock/>
                  </v:shape>
                </w:pict>
              </mc:Fallback>
            </mc:AlternateContent>
          </w:r>
          <w:r w:rsidR="00115477">
            <w:rPr>
              <w:noProof/>
              <w:color w:val="242852" w:themeColor="text2"/>
              <w:sz w:val="32"/>
              <w:szCs w:val="32"/>
            </w:rPr>
            <w:br w:type="page"/>
          </w:r>
        </w:p>
        <w:p w14:paraId="35603FAC" w14:textId="08AE2207" w:rsidR="00CB6975" w:rsidRDefault="002C33D4" w:rsidP="00120478">
          <w:pPr>
            <w:tabs>
              <w:tab w:val="left" w:pos="4395"/>
            </w:tabs>
            <w:spacing w:after="0"/>
            <w:ind w:left="720" w:right="0"/>
            <w:jc w:val="both"/>
            <w:rPr>
              <w:noProof/>
              <w:color w:val="242852" w:themeColor="text2"/>
              <w:sz w:val="32"/>
              <w:szCs w:val="32"/>
            </w:rPr>
          </w:pPr>
        </w:p>
      </w:sdtContent>
    </w:sdt>
    <w:p w14:paraId="002CE664" w14:textId="77777777" w:rsidR="009E7127" w:rsidRDefault="00CB6975" w:rsidP="00806968">
      <w:pPr>
        <w:pStyle w:val="Heading2"/>
        <w:spacing w:line="360" w:lineRule="auto"/>
      </w:pPr>
      <w:r w:rsidRPr="00CB6975">
        <w:t xml:space="preserve"> </w:t>
      </w:r>
    </w:p>
    <w:sdt>
      <w:sdtPr>
        <w:rPr>
          <w:rFonts w:asciiTheme="minorHAnsi" w:eastAsiaTheme="minorEastAsia" w:hAnsiTheme="minorHAnsi" w:cstheme="minorBidi"/>
          <w:caps w:val="0"/>
          <w:color w:val="auto"/>
          <w:sz w:val="24"/>
          <w:szCs w:val="22"/>
        </w:rPr>
        <w:id w:val="1554572579"/>
        <w:docPartObj>
          <w:docPartGallery w:val="Table of Contents"/>
          <w:docPartUnique/>
        </w:docPartObj>
      </w:sdtPr>
      <w:sdtEndPr>
        <w:rPr>
          <w:b/>
          <w:bCs/>
          <w:noProof/>
        </w:rPr>
      </w:sdtEndPr>
      <w:sdtContent>
        <w:p w14:paraId="52AC907F" w14:textId="3A92D724" w:rsidR="00CA5F09" w:rsidRDefault="00CA5F09">
          <w:pPr>
            <w:pStyle w:val="TOCHeading"/>
          </w:pPr>
          <w:r>
            <w:t>Contents</w:t>
          </w:r>
        </w:p>
        <w:p w14:paraId="279B786D" w14:textId="07A725EB" w:rsidR="006D4EC7" w:rsidRDefault="006A05E1">
          <w:pPr>
            <w:pStyle w:val="TOC2"/>
            <w:tabs>
              <w:tab w:val="right" w:leader="dot" w:pos="9566"/>
            </w:tabs>
            <w:rPr>
              <w:noProof/>
              <w:kern w:val="0"/>
              <w:sz w:val="22"/>
              <w:lang w:eastAsia="en-US"/>
              <w14:ligatures w14:val="none"/>
            </w:rPr>
          </w:pPr>
          <w:r>
            <w:fldChar w:fldCharType="begin"/>
          </w:r>
          <w:r>
            <w:instrText xml:space="preserve"> TOC \o "1-4" \h \z \u </w:instrText>
          </w:r>
          <w:r>
            <w:fldChar w:fldCharType="separate"/>
          </w:r>
          <w:hyperlink w:anchor="_Toc103709631" w:history="1">
            <w:r w:rsidR="006D4EC7" w:rsidRPr="00BE4389">
              <w:rPr>
                <w:rStyle w:val="Hyperlink"/>
                <w:rFonts w:ascii="Calibri" w:eastAsia="Calibri" w:hAnsi="Calibri" w:cs="Times New Roman"/>
                <w:b/>
                <w:noProof/>
                <w:lang w:eastAsia="en-US"/>
              </w:rPr>
              <w:t>Concept of Operations</w:t>
            </w:r>
            <w:r w:rsidR="006D4EC7">
              <w:rPr>
                <w:noProof/>
                <w:webHidden/>
              </w:rPr>
              <w:tab/>
            </w:r>
            <w:r w:rsidR="006D4EC7">
              <w:rPr>
                <w:noProof/>
                <w:webHidden/>
              </w:rPr>
              <w:fldChar w:fldCharType="begin"/>
            </w:r>
            <w:r w:rsidR="006D4EC7">
              <w:rPr>
                <w:noProof/>
                <w:webHidden/>
              </w:rPr>
              <w:instrText xml:space="preserve"> PAGEREF _Toc103709631 \h </w:instrText>
            </w:r>
            <w:r w:rsidR="006D4EC7">
              <w:rPr>
                <w:noProof/>
                <w:webHidden/>
              </w:rPr>
            </w:r>
            <w:r w:rsidR="006D4EC7">
              <w:rPr>
                <w:noProof/>
                <w:webHidden/>
              </w:rPr>
              <w:fldChar w:fldCharType="separate"/>
            </w:r>
            <w:r w:rsidR="006D4EC7">
              <w:rPr>
                <w:noProof/>
                <w:webHidden/>
              </w:rPr>
              <w:t>3</w:t>
            </w:r>
            <w:r w:rsidR="006D4EC7">
              <w:rPr>
                <w:noProof/>
                <w:webHidden/>
              </w:rPr>
              <w:fldChar w:fldCharType="end"/>
            </w:r>
          </w:hyperlink>
        </w:p>
        <w:p w14:paraId="1267A26D" w14:textId="0392E70A" w:rsidR="006D4EC7" w:rsidRDefault="006D4EC7">
          <w:pPr>
            <w:pStyle w:val="TOC2"/>
            <w:tabs>
              <w:tab w:val="right" w:leader="dot" w:pos="9566"/>
            </w:tabs>
            <w:rPr>
              <w:noProof/>
              <w:kern w:val="0"/>
              <w:sz w:val="22"/>
              <w:lang w:eastAsia="en-US"/>
              <w14:ligatures w14:val="none"/>
            </w:rPr>
          </w:pPr>
          <w:hyperlink w:anchor="_Toc103709632" w:history="1">
            <w:r w:rsidRPr="00BE4389">
              <w:rPr>
                <w:rStyle w:val="Hyperlink"/>
                <w:rFonts w:ascii="Calibri" w:eastAsia="Calibri" w:hAnsi="Calibri" w:cs="Times New Roman"/>
                <w:b/>
                <w:noProof/>
                <w:lang w:eastAsia="en-US"/>
              </w:rPr>
              <w:t>Initial Receiving Hospital</w:t>
            </w:r>
            <w:r>
              <w:rPr>
                <w:noProof/>
                <w:webHidden/>
              </w:rPr>
              <w:tab/>
            </w:r>
            <w:r>
              <w:rPr>
                <w:noProof/>
                <w:webHidden/>
              </w:rPr>
              <w:fldChar w:fldCharType="begin"/>
            </w:r>
            <w:r>
              <w:rPr>
                <w:noProof/>
                <w:webHidden/>
              </w:rPr>
              <w:instrText xml:space="preserve"> PAGEREF _Toc103709632 \h </w:instrText>
            </w:r>
            <w:r>
              <w:rPr>
                <w:noProof/>
                <w:webHidden/>
              </w:rPr>
            </w:r>
            <w:r>
              <w:rPr>
                <w:noProof/>
                <w:webHidden/>
              </w:rPr>
              <w:fldChar w:fldCharType="separate"/>
            </w:r>
            <w:r>
              <w:rPr>
                <w:noProof/>
                <w:webHidden/>
              </w:rPr>
              <w:t>4</w:t>
            </w:r>
            <w:r>
              <w:rPr>
                <w:noProof/>
                <w:webHidden/>
              </w:rPr>
              <w:fldChar w:fldCharType="end"/>
            </w:r>
          </w:hyperlink>
        </w:p>
        <w:p w14:paraId="2CCEE53F" w14:textId="5602CD93" w:rsidR="006D4EC7" w:rsidRDefault="006D4EC7">
          <w:pPr>
            <w:pStyle w:val="TOC2"/>
            <w:tabs>
              <w:tab w:val="right" w:leader="dot" w:pos="9566"/>
            </w:tabs>
            <w:rPr>
              <w:noProof/>
              <w:kern w:val="0"/>
              <w:sz w:val="22"/>
              <w:lang w:eastAsia="en-US"/>
              <w14:ligatures w14:val="none"/>
            </w:rPr>
          </w:pPr>
          <w:hyperlink w:anchor="_Toc103709633" w:history="1">
            <w:r w:rsidRPr="00BE4389">
              <w:rPr>
                <w:rStyle w:val="Hyperlink"/>
                <w:rFonts w:ascii="Calibri" w:eastAsia="Calibri" w:hAnsi="Calibri" w:cs="Times New Roman"/>
                <w:b/>
                <w:noProof/>
                <w:lang w:eastAsia="en-US"/>
              </w:rPr>
              <w:t>Regional Burn Surge Hospital Identification</w:t>
            </w:r>
            <w:r>
              <w:rPr>
                <w:noProof/>
                <w:webHidden/>
              </w:rPr>
              <w:tab/>
            </w:r>
            <w:r>
              <w:rPr>
                <w:noProof/>
                <w:webHidden/>
              </w:rPr>
              <w:fldChar w:fldCharType="begin"/>
            </w:r>
            <w:r>
              <w:rPr>
                <w:noProof/>
                <w:webHidden/>
              </w:rPr>
              <w:instrText xml:space="preserve"> PAGEREF _Toc103709633 \h </w:instrText>
            </w:r>
            <w:r>
              <w:rPr>
                <w:noProof/>
                <w:webHidden/>
              </w:rPr>
            </w:r>
            <w:r>
              <w:rPr>
                <w:noProof/>
                <w:webHidden/>
              </w:rPr>
              <w:fldChar w:fldCharType="separate"/>
            </w:r>
            <w:r>
              <w:rPr>
                <w:noProof/>
                <w:webHidden/>
              </w:rPr>
              <w:t>4</w:t>
            </w:r>
            <w:r>
              <w:rPr>
                <w:noProof/>
                <w:webHidden/>
              </w:rPr>
              <w:fldChar w:fldCharType="end"/>
            </w:r>
          </w:hyperlink>
        </w:p>
        <w:p w14:paraId="183D7DD4" w14:textId="4731A583" w:rsidR="006D4EC7" w:rsidRDefault="006D4EC7">
          <w:pPr>
            <w:pStyle w:val="TOC2"/>
            <w:tabs>
              <w:tab w:val="right" w:leader="dot" w:pos="9566"/>
            </w:tabs>
            <w:rPr>
              <w:noProof/>
              <w:kern w:val="0"/>
              <w:sz w:val="22"/>
              <w:lang w:eastAsia="en-US"/>
              <w14:ligatures w14:val="none"/>
            </w:rPr>
          </w:pPr>
          <w:hyperlink w:anchor="_Toc103709634" w:history="1">
            <w:r w:rsidRPr="00BE4389">
              <w:rPr>
                <w:rStyle w:val="Hyperlink"/>
                <w:rFonts w:ascii="Calibri" w:eastAsia="Calibri" w:hAnsi="Calibri" w:cs="Times New Roman"/>
                <w:b/>
                <w:noProof/>
                <w:lang w:eastAsia="en-US"/>
              </w:rPr>
              <w:t>Role of the Regional Health Care Preparedness Coordinators (RHPC)</w:t>
            </w:r>
            <w:r>
              <w:rPr>
                <w:noProof/>
                <w:webHidden/>
              </w:rPr>
              <w:tab/>
            </w:r>
            <w:r>
              <w:rPr>
                <w:noProof/>
                <w:webHidden/>
              </w:rPr>
              <w:fldChar w:fldCharType="begin"/>
            </w:r>
            <w:r>
              <w:rPr>
                <w:noProof/>
                <w:webHidden/>
              </w:rPr>
              <w:instrText xml:space="preserve"> PAGEREF _Toc103709634 \h </w:instrText>
            </w:r>
            <w:r>
              <w:rPr>
                <w:noProof/>
                <w:webHidden/>
              </w:rPr>
            </w:r>
            <w:r>
              <w:rPr>
                <w:noProof/>
                <w:webHidden/>
              </w:rPr>
              <w:fldChar w:fldCharType="separate"/>
            </w:r>
            <w:r>
              <w:rPr>
                <w:noProof/>
                <w:webHidden/>
              </w:rPr>
              <w:t>4</w:t>
            </w:r>
            <w:r>
              <w:rPr>
                <w:noProof/>
                <w:webHidden/>
              </w:rPr>
              <w:fldChar w:fldCharType="end"/>
            </w:r>
          </w:hyperlink>
        </w:p>
        <w:p w14:paraId="0A10DCA0" w14:textId="1D731F49" w:rsidR="006D4EC7" w:rsidRDefault="006D4EC7">
          <w:pPr>
            <w:pStyle w:val="TOC2"/>
            <w:tabs>
              <w:tab w:val="right" w:leader="dot" w:pos="9566"/>
            </w:tabs>
            <w:rPr>
              <w:noProof/>
              <w:kern w:val="0"/>
              <w:sz w:val="22"/>
              <w:lang w:eastAsia="en-US"/>
              <w14:ligatures w14:val="none"/>
            </w:rPr>
          </w:pPr>
          <w:hyperlink w:anchor="_Toc103709635" w:history="1">
            <w:r w:rsidRPr="00BE4389">
              <w:rPr>
                <w:rStyle w:val="Hyperlink"/>
                <w:rFonts w:ascii="Calibri" w:eastAsia="Calibri" w:hAnsi="Calibri" w:cs="Times New Roman"/>
                <w:b/>
                <w:noProof/>
                <w:lang w:eastAsia="en-US"/>
              </w:rPr>
              <w:t>Training and Exercise Recommendations</w:t>
            </w:r>
            <w:r>
              <w:rPr>
                <w:noProof/>
                <w:webHidden/>
              </w:rPr>
              <w:tab/>
            </w:r>
            <w:r>
              <w:rPr>
                <w:noProof/>
                <w:webHidden/>
              </w:rPr>
              <w:fldChar w:fldCharType="begin"/>
            </w:r>
            <w:r>
              <w:rPr>
                <w:noProof/>
                <w:webHidden/>
              </w:rPr>
              <w:instrText xml:space="preserve"> PAGEREF _Toc103709635 \h </w:instrText>
            </w:r>
            <w:r>
              <w:rPr>
                <w:noProof/>
                <w:webHidden/>
              </w:rPr>
            </w:r>
            <w:r>
              <w:rPr>
                <w:noProof/>
                <w:webHidden/>
              </w:rPr>
              <w:fldChar w:fldCharType="separate"/>
            </w:r>
            <w:r>
              <w:rPr>
                <w:noProof/>
                <w:webHidden/>
              </w:rPr>
              <w:t>5</w:t>
            </w:r>
            <w:r>
              <w:rPr>
                <w:noProof/>
                <w:webHidden/>
              </w:rPr>
              <w:fldChar w:fldCharType="end"/>
            </w:r>
          </w:hyperlink>
        </w:p>
        <w:p w14:paraId="41302F5A" w14:textId="43EC98DA" w:rsidR="00CA5F09" w:rsidRDefault="006A05E1">
          <w:r>
            <w:fldChar w:fldCharType="end"/>
          </w:r>
        </w:p>
      </w:sdtContent>
    </w:sdt>
    <w:p w14:paraId="6B0156B1" w14:textId="1327FD4B" w:rsidR="009E7127" w:rsidRDefault="009E7127" w:rsidP="00806968">
      <w:pPr>
        <w:pStyle w:val="Heading2"/>
        <w:spacing w:line="360" w:lineRule="auto"/>
      </w:pPr>
    </w:p>
    <w:p w14:paraId="002CA326" w14:textId="4D3B17F2" w:rsidR="00CA5F09" w:rsidRDefault="00CA5F09">
      <w:pPr>
        <w:spacing w:after="240" w:line="252" w:lineRule="auto"/>
        <w:ind w:left="0" w:right="0"/>
        <w:rPr>
          <w:rFonts w:asciiTheme="majorHAnsi" w:eastAsiaTheme="majorEastAsia" w:hAnsiTheme="majorHAnsi" w:cstheme="majorBidi"/>
          <w:caps/>
          <w:color w:val="990033" w:themeColor="accent2"/>
          <w:szCs w:val="24"/>
        </w:rPr>
      </w:pPr>
      <w:r>
        <w:br w:type="page"/>
      </w:r>
    </w:p>
    <w:p w14:paraId="31BEC42A" w14:textId="5AE07C2E" w:rsidR="006D4EC7" w:rsidRPr="006D4EC7" w:rsidRDefault="006D4EC7" w:rsidP="006D4EC7">
      <w:pPr>
        <w:spacing w:before="120"/>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lastRenderedPageBreak/>
        <w:t xml:space="preserve">In the event of a medical surge burn incident, the MN State Burn Surge Plan calls on each region to initially treat and stabilize burn victims for up to 72 hours if transportation to MN Burn Centers is not feasible. This burn surge appendix provides a regional framework to support and supplement the MN Statewide Burn Surge plan. This appendix identifies the Central Healthcare Preparedness Coalition’s response to a medical surge event involving severe or life-threatening burns. </w:t>
      </w:r>
      <w:r>
        <w:rPr>
          <w:rFonts w:ascii="Calibri" w:eastAsia="Times New Roman" w:hAnsi="Calibri" w:cs="Times New Roman"/>
          <w:kern w:val="0"/>
          <w:sz w:val="22"/>
          <w:lang w:eastAsia="en-US" w:bidi="en-US"/>
          <w14:ligatures w14:val="none"/>
        </w:rPr>
        <w:t xml:space="preserve">This plan is part of the Regional Response Plan and works along with the Appendix 3.5.1 CMHPC Regional Response Plan. </w:t>
      </w:r>
    </w:p>
    <w:p w14:paraId="7E783D38" w14:textId="77777777" w:rsidR="006D4EC7" w:rsidRPr="006D4EC7" w:rsidRDefault="006D4EC7" w:rsidP="006D4EC7">
      <w:pPr>
        <w:spacing w:before="120"/>
        <w:ind w:left="0" w:right="0"/>
        <w:rPr>
          <w:rFonts w:ascii="Calibri" w:eastAsia="Times New Roman" w:hAnsi="Calibri" w:cs="Times New Roman"/>
          <w:color w:val="6B9F25"/>
          <w:kern w:val="0"/>
          <w:sz w:val="22"/>
          <w:u w:val="single"/>
          <w:lang w:eastAsia="en-US" w:bidi="en-US"/>
          <w14:ligatures w14:val="none"/>
        </w:rPr>
      </w:pPr>
      <w:r w:rsidRPr="006D4EC7">
        <w:rPr>
          <w:rFonts w:ascii="Calibri" w:eastAsia="Times New Roman" w:hAnsi="Calibri" w:cs="Times New Roman"/>
          <w:kern w:val="0"/>
          <w:sz w:val="22"/>
          <w:lang w:eastAsia="en-US" w:bidi="en-US"/>
          <w14:ligatures w14:val="none"/>
        </w:rPr>
        <w:t xml:space="preserve">See the full Minnesota Burn Surge Plan and list of burn surge facilities at the MDH website: </w:t>
      </w:r>
      <w:hyperlink r:id="rId12" w:history="1">
        <w:r w:rsidRPr="006D4EC7">
          <w:rPr>
            <w:rFonts w:ascii="Calibri" w:eastAsia="Times New Roman" w:hAnsi="Calibri" w:cs="Times New Roman"/>
            <w:color w:val="6B9F25"/>
            <w:kern w:val="0"/>
            <w:sz w:val="22"/>
            <w:u w:val="single"/>
            <w:lang w:eastAsia="en-US" w:bidi="en-US"/>
            <w14:ligatures w14:val="none"/>
          </w:rPr>
          <w:t>https://www.health.state.mn.us/communities/ep/surge/burn/burnsurgeplan.pdf</w:t>
        </w:r>
      </w:hyperlink>
    </w:p>
    <w:p w14:paraId="65D195DC" w14:textId="77777777" w:rsidR="006D4EC7" w:rsidRPr="006D4EC7" w:rsidRDefault="006D4EC7" w:rsidP="006D4EC7">
      <w:pPr>
        <w:spacing w:before="120"/>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As outlined in the statewide plan, if the incident requires more resources than Minnesota is capable to provide, requests can be made to both the Great Lakes Healthcare Partnership (GLHP) and the ABA Midwest Region for assistance (Statewide Plan Appendix C: Interstate Burn Unit Resources).</w:t>
      </w:r>
    </w:p>
    <w:p w14:paraId="346F1754" w14:textId="73C7CE56" w:rsidR="006D4EC7" w:rsidRPr="006D4EC7" w:rsidRDefault="006D4EC7" w:rsidP="006D4EC7">
      <w:pPr>
        <w:spacing w:before="120"/>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Each jurisdiction with the region has conducted a Hazard Vulnerability Assessment (HVA) and at a </w:t>
      </w:r>
      <w:r w:rsidRPr="006D4EC7">
        <w:rPr>
          <w:rFonts w:ascii="Calibri" w:eastAsia="Times New Roman" w:hAnsi="Calibri" w:cs="Times New Roman"/>
          <w:kern w:val="0"/>
          <w:sz w:val="22"/>
          <w:lang w:eastAsia="en-US" w:bidi="en-US"/>
          <w14:ligatures w14:val="none"/>
        </w:rPr>
        <w:t>minimum review</w:t>
      </w:r>
      <w:r w:rsidRPr="006D4EC7">
        <w:rPr>
          <w:rFonts w:ascii="Calibri" w:eastAsia="Times New Roman" w:hAnsi="Calibri" w:cs="Times New Roman"/>
          <w:kern w:val="0"/>
          <w:sz w:val="22"/>
          <w:lang w:eastAsia="en-US" w:bidi="en-US"/>
          <w14:ligatures w14:val="none"/>
        </w:rPr>
        <w:t xml:space="preserve"> it annually. The HVA looks at hazards that could lead to an increased risk to individual and community physical health. </w:t>
      </w:r>
      <w:r>
        <w:rPr>
          <w:rFonts w:ascii="Calibri" w:eastAsia="Times New Roman" w:hAnsi="Calibri" w:cs="Times New Roman"/>
          <w:kern w:val="0"/>
          <w:sz w:val="22"/>
          <w:lang w:eastAsia="en-US" w:bidi="en-US"/>
          <w14:ligatures w14:val="none"/>
        </w:rPr>
        <w:t xml:space="preserve"> (See the CMHPC Preparedness Plan – Appendix 5.1 CMHPC Regional HVA)</w:t>
      </w:r>
    </w:p>
    <w:p w14:paraId="0EE1F9A0" w14:textId="77777777" w:rsidR="006D4EC7" w:rsidRPr="006D4EC7" w:rsidRDefault="006D4EC7" w:rsidP="006D4EC7">
      <w:pPr>
        <w:spacing w:after="0"/>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Risk factors assessed include but not limited to:</w:t>
      </w:r>
    </w:p>
    <w:p w14:paraId="0E32345D" w14:textId="77777777" w:rsidR="006D4EC7" w:rsidRPr="006D4EC7" w:rsidRDefault="006D4EC7" w:rsidP="006D4EC7">
      <w:pPr>
        <w:pStyle w:val="ListParagraph"/>
        <w:numPr>
          <w:ilvl w:val="0"/>
          <w:numId w:val="40"/>
        </w:numPr>
        <w:rPr>
          <w:rFonts w:ascii="Calibri" w:eastAsia="Times New Roman" w:hAnsi="Calibri" w:cs="Times New Roman"/>
          <w:lang w:bidi="en-US"/>
        </w:rPr>
      </w:pPr>
      <w:r w:rsidRPr="006D4EC7">
        <w:rPr>
          <w:rFonts w:ascii="Calibri" w:eastAsia="Times New Roman" w:hAnsi="Calibri" w:cs="Times New Roman"/>
          <w:lang w:bidi="en-US"/>
        </w:rPr>
        <w:t>Pipelines</w:t>
      </w:r>
    </w:p>
    <w:p w14:paraId="370F80F8" w14:textId="77777777" w:rsidR="006D4EC7" w:rsidRPr="006D4EC7" w:rsidRDefault="006D4EC7" w:rsidP="006D4EC7">
      <w:pPr>
        <w:pStyle w:val="ListParagraph"/>
        <w:numPr>
          <w:ilvl w:val="0"/>
          <w:numId w:val="40"/>
        </w:numPr>
        <w:rPr>
          <w:rFonts w:ascii="Calibri" w:eastAsia="Times New Roman" w:hAnsi="Calibri" w:cs="Times New Roman"/>
          <w:lang w:bidi="en-US"/>
        </w:rPr>
      </w:pPr>
      <w:r w:rsidRPr="006D4EC7">
        <w:rPr>
          <w:rFonts w:ascii="Calibri" w:eastAsia="Times New Roman" w:hAnsi="Calibri" w:cs="Times New Roman"/>
          <w:lang w:bidi="en-US"/>
        </w:rPr>
        <w:t>Refineries</w:t>
      </w:r>
    </w:p>
    <w:p w14:paraId="68D371DF" w14:textId="77777777" w:rsidR="006D4EC7" w:rsidRPr="006D4EC7" w:rsidRDefault="006D4EC7" w:rsidP="006D4EC7">
      <w:pPr>
        <w:pStyle w:val="ListParagraph"/>
        <w:numPr>
          <w:ilvl w:val="0"/>
          <w:numId w:val="40"/>
        </w:numPr>
        <w:rPr>
          <w:rFonts w:ascii="Calibri" w:eastAsia="Times New Roman" w:hAnsi="Calibri" w:cs="Times New Roman"/>
          <w:lang w:bidi="en-US"/>
        </w:rPr>
      </w:pPr>
      <w:r w:rsidRPr="006D4EC7">
        <w:rPr>
          <w:rFonts w:ascii="Calibri" w:eastAsia="Times New Roman" w:hAnsi="Calibri" w:cs="Times New Roman"/>
          <w:lang w:bidi="en-US"/>
        </w:rPr>
        <w:t>Wildfire risk</w:t>
      </w:r>
    </w:p>
    <w:p w14:paraId="12C478AB" w14:textId="77777777" w:rsidR="006D4EC7" w:rsidRPr="006D4EC7" w:rsidRDefault="006D4EC7" w:rsidP="006D4EC7">
      <w:pPr>
        <w:pStyle w:val="ListParagraph"/>
        <w:numPr>
          <w:ilvl w:val="0"/>
          <w:numId w:val="40"/>
        </w:numPr>
        <w:rPr>
          <w:rFonts w:ascii="Calibri" w:eastAsia="Times New Roman" w:hAnsi="Calibri" w:cs="Times New Roman"/>
          <w:lang w:bidi="en-US"/>
        </w:rPr>
      </w:pPr>
      <w:r w:rsidRPr="006D4EC7">
        <w:rPr>
          <w:rFonts w:ascii="Calibri" w:eastAsia="Times New Roman" w:hAnsi="Calibri" w:cs="Times New Roman"/>
          <w:lang w:bidi="en-US"/>
        </w:rPr>
        <w:t>Terrorism</w:t>
      </w:r>
    </w:p>
    <w:p w14:paraId="1655E6E1" w14:textId="77777777" w:rsidR="006D4EC7" w:rsidRPr="006D4EC7" w:rsidRDefault="006D4EC7" w:rsidP="006D4EC7">
      <w:pPr>
        <w:pStyle w:val="ListParagraph"/>
        <w:numPr>
          <w:ilvl w:val="0"/>
          <w:numId w:val="40"/>
        </w:numPr>
        <w:rPr>
          <w:rFonts w:ascii="Calibri" w:eastAsia="Times New Roman" w:hAnsi="Calibri" w:cs="Times New Roman"/>
          <w:lang w:bidi="en-US"/>
        </w:rPr>
      </w:pPr>
      <w:r w:rsidRPr="006D4EC7">
        <w:rPr>
          <w:rFonts w:ascii="Calibri" w:eastAsia="Times New Roman" w:hAnsi="Calibri" w:cs="Times New Roman"/>
          <w:lang w:bidi="en-US"/>
        </w:rPr>
        <w:t>Transportation risks</w:t>
      </w:r>
    </w:p>
    <w:p w14:paraId="78870666" w14:textId="77777777" w:rsidR="006D4EC7" w:rsidRPr="006D4EC7" w:rsidRDefault="006D4EC7" w:rsidP="006D4EC7">
      <w:pPr>
        <w:pStyle w:val="ListParagraph"/>
        <w:numPr>
          <w:ilvl w:val="0"/>
          <w:numId w:val="40"/>
        </w:numPr>
        <w:rPr>
          <w:rFonts w:ascii="Calibri" w:eastAsia="Times New Roman" w:hAnsi="Calibri" w:cs="Times New Roman"/>
          <w:lang w:bidi="en-US"/>
        </w:rPr>
      </w:pPr>
      <w:r w:rsidRPr="006D4EC7">
        <w:rPr>
          <w:rFonts w:ascii="Calibri" w:eastAsia="Times New Roman" w:hAnsi="Calibri" w:cs="Times New Roman"/>
          <w:lang w:bidi="en-US"/>
        </w:rPr>
        <w:t>Lack of burn resources</w:t>
      </w:r>
    </w:p>
    <w:p w14:paraId="6F0D6DE3" w14:textId="77777777" w:rsidR="006D4EC7" w:rsidRPr="006D4EC7" w:rsidRDefault="006D4EC7" w:rsidP="006D4EC7">
      <w:pPr>
        <w:spacing w:after="0"/>
        <w:ind w:left="0" w:right="0"/>
        <w:rPr>
          <w:rFonts w:ascii="Calibri" w:eastAsia="Times New Roman" w:hAnsi="Calibri" w:cs="Times New Roman"/>
          <w:kern w:val="0"/>
          <w:sz w:val="22"/>
          <w:lang w:eastAsia="en-US" w:bidi="en-US"/>
          <w14:ligatures w14:val="none"/>
        </w:rPr>
      </w:pPr>
    </w:p>
    <w:p w14:paraId="713DA0F6" w14:textId="77777777" w:rsidR="006D4EC7" w:rsidRPr="006D4EC7" w:rsidRDefault="006D4EC7" w:rsidP="006D4EC7">
      <w:pPr>
        <w:spacing w:after="0"/>
        <w:ind w:left="0" w:right="0"/>
        <w:rPr>
          <w:rFonts w:ascii="Calibri" w:eastAsia="Times New Roman" w:hAnsi="Calibri" w:cs="Times New Roman"/>
          <w:color w:val="FF0000"/>
          <w:kern w:val="0"/>
          <w:sz w:val="22"/>
          <w:lang w:eastAsia="en-US" w:bidi="en-US"/>
          <w14:ligatures w14:val="none"/>
        </w:rPr>
      </w:pPr>
      <w:r w:rsidRPr="006D4EC7">
        <w:rPr>
          <w:rFonts w:ascii="Calibri" w:eastAsia="Times New Roman" w:hAnsi="Calibri" w:cs="Times New Roman"/>
          <w:kern w:val="0"/>
          <w:sz w:val="22"/>
          <w:lang w:eastAsia="en-US" w:bidi="en-US"/>
          <w14:ligatures w14:val="none"/>
        </w:rPr>
        <w:t>In addition, specific known activities within each region are assessed.  Each year the coalition takes the time to review these HVA’s and look for any changes. The coalition reviews individually first, then as a group the region reviews so all are aware of any changes</w:t>
      </w:r>
      <w:r w:rsidRPr="006D4EC7">
        <w:rPr>
          <w:rFonts w:ascii="Calibri" w:eastAsia="Times New Roman" w:hAnsi="Calibri" w:cs="Times New Roman"/>
          <w:color w:val="FF0000"/>
          <w:kern w:val="0"/>
          <w:sz w:val="22"/>
          <w:lang w:eastAsia="en-US" w:bidi="en-US"/>
          <w14:ligatures w14:val="none"/>
        </w:rPr>
        <w:t xml:space="preserve">. </w:t>
      </w:r>
    </w:p>
    <w:p w14:paraId="6454F52D" w14:textId="77777777" w:rsidR="006D4EC7" w:rsidRPr="006D4EC7" w:rsidRDefault="006D4EC7" w:rsidP="006D4EC7">
      <w:pPr>
        <w:keepNext/>
        <w:keepLines/>
        <w:spacing w:before="240" w:line="271" w:lineRule="auto"/>
        <w:ind w:left="0" w:right="0"/>
        <w:outlineLvl w:val="1"/>
        <w:rPr>
          <w:rFonts w:ascii="Calibri" w:eastAsia="Calibri" w:hAnsi="Calibri" w:cs="Times New Roman"/>
          <w:b/>
          <w:kern w:val="0"/>
          <w:sz w:val="28"/>
          <w:szCs w:val="32"/>
          <w:lang w:eastAsia="en-US"/>
          <w14:ligatures w14:val="none"/>
        </w:rPr>
      </w:pPr>
      <w:bookmarkStart w:id="0" w:name="_Toc99650067"/>
      <w:bookmarkStart w:id="1" w:name="_Toc103709631"/>
      <w:r w:rsidRPr="006D4EC7">
        <w:rPr>
          <w:rFonts w:ascii="Calibri" w:eastAsia="Calibri" w:hAnsi="Calibri" w:cs="Times New Roman"/>
          <w:b/>
          <w:kern w:val="0"/>
          <w:sz w:val="28"/>
          <w:szCs w:val="32"/>
          <w:lang w:eastAsia="en-US"/>
          <w14:ligatures w14:val="none"/>
        </w:rPr>
        <w:t>Concept of Operations</w:t>
      </w:r>
      <w:bookmarkEnd w:id="0"/>
      <w:bookmarkEnd w:id="1"/>
    </w:p>
    <w:p w14:paraId="2A4EAA46" w14:textId="77777777" w:rsidR="006D4EC7" w:rsidRPr="006D4EC7" w:rsidRDefault="006D4EC7" w:rsidP="006D4EC7">
      <w:pPr>
        <w:spacing w:before="120"/>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The State of Minnesota currently has two Burn Centers acknowledged by the American Burn Association (ABA), which are Hennepin County Medical Center (HCMC) and Regions Hospital. Both certified burn centers are outside of the Central Region and located with the Metro Region. During a burn surge incident, the initial receiving facility will collaborate and communicate with the burn centers. If, at some point, the MN Burn Centers are unable to accept the number of patients referred to them, the statewide Burn Surge plan will be activated. Normal day to day operations </w:t>
      </w:r>
      <w:proofErr w:type="gramStart"/>
      <w:r w:rsidRPr="006D4EC7">
        <w:rPr>
          <w:rFonts w:ascii="Calibri" w:eastAsia="Times New Roman" w:hAnsi="Calibri" w:cs="Times New Roman"/>
          <w:kern w:val="0"/>
          <w:sz w:val="22"/>
          <w:lang w:eastAsia="en-US" w:bidi="en-US"/>
          <w14:ligatures w14:val="none"/>
        </w:rPr>
        <w:t>are</w:t>
      </w:r>
      <w:proofErr w:type="gramEnd"/>
      <w:r w:rsidRPr="006D4EC7">
        <w:rPr>
          <w:rFonts w:ascii="Calibri" w:eastAsia="Times New Roman" w:hAnsi="Calibri" w:cs="Times New Roman"/>
          <w:kern w:val="0"/>
          <w:sz w:val="22"/>
          <w:lang w:eastAsia="en-US" w:bidi="en-US"/>
          <w14:ligatures w14:val="none"/>
        </w:rPr>
        <w:t xml:space="preserve"> the goal of this plan, this plan will only be activated when local resources are exhausted and the MN Burn Centers are unable to provide immediate care for burn patients. The Central region has identified a facility that would be considered as a Burn Surge facility. Initial receiving facilities may be directed to transfer burn patients to burn surge facilities for up to 72 hours as burn centers work amongst themselves and in conjunction with out-of-state burn centers to accommodate the number of patients needing medical care from a burn center. </w:t>
      </w:r>
    </w:p>
    <w:p w14:paraId="26E6FAA0" w14:textId="33969B45" w:rsidR="006D4EC7" w:rsidRPr="006D4EC7" w:rsidRDefault="006D4EC7" w:rsidP="006D4EC7">
      <w:pPr>
        <w:spacing w:before="120"/>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See Link to the MN Statewide Burn Surge plan and Communication Plan.</w:t>
      </w:r>
      <w:r>
        <w:rPr>
          <w:rFonts w:ascii="Calibri" w:eastAsia="Times New Roman" w:hAnsi="Calibri" w:cs="Times New Roman"/>
          <w:kern w:val="0"/>
          <w:sz w:val="22"/>
          <w:lang w:eastAsia="en-US" w:bidi="en-US"/>
          <w14:ligatures w14:val="none"/>
        </w:rPr>
        <w:t xml:space="preserve"> </w:t>
      </w:r>
      <w:hyperlink r:id="rId13" w:history="1">
        <w:r w:rsidRPr="006D4EC7">
          <w:rPr>
            <w:rStyle w:val="Hyperlink"/>
            <w:rFonts w:ascii="Calibri" w:eastAsia="Times New Roman" w:hAnsi="Calibri" w:cs="Times New Roman"/>
            <w:kern w:val="0"/>
            <w:sz w:val="22"/>
            <w:lang w:eastAsia="en-US" w:bidi="en-US"/>
            <w14:ligatures w14:val="none"/>
          </w:rPr>
          <w:t>Minnesota Dept. of Health Burn Surge Plan</w:t>
        </w:r>
      </w:hyperlink>
    </w:p>
    <w:p w14:paraId="062992A3" w14:textId="77777777" w:rsidR="006D4EC7" w:rsidRPr="006D4EC7" w:rsidRDefault="006D4EC7" w:rsidP="006D4EC7">
      <w:pPr>
        <w:keepNext/>
        <w:keepLines/>
        <w:spacing w:before="240" w:line="271" w:lineRule="auto"/>
        <w:ind w:left="0" w:right="0"/>
        <w:outlineLvl w:val="1"/>
        <w:rPr>
          <w:rFonts w:ascii="Calibri" w:eastAsia="Calibri" w:hAnsi="Calibri" w:cs="Times New Roman"/>
          <w:b/>
          <w:kern w:val="0"/>
          <w:sz w:val="28"/>
          <w:szCs w:val="32"/>
          <w:lang w:eastAsia="en-US"/>
          <w14:ligatures w14:val="none"/>
        </w:rPr>
      </w:pPr>
      <w:bookmarkStart w:id="2" w:name="_Toc99650068"/>
      <w:bookmarkStart w:id="3" w:name="_Toc103709632"/>
      <w:r w:rsidRPr="006D4EC7">
        <w:rPr>
          <w:rFonts w:ascii="Calibri" w:eastAsia="Calibri" w:hAnsi="Calibri" w:cs="Times New Roman"/>
          <w:b/>
          <w:kern w:val="0"/>
          <w:sz w:val="28"/>
          <w:szCs w:val="32"/>
          <w:lang w:eastAsia="en-US"/>
          <w14:ligatures w14:val="none"/>
        </w:rPr>
        <w:lastRenderedPageBreak/>
        <w:t>Initial Receiving Hospital</w:t>
      </w:r>
      <w:bookmarkEnd w:id="2"/>
      <w:bookmarkEnd w:id="3"/>
    </w:p>
    <w:p w14:paraId="03EB27C6"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The initial receiving hospital will provide initial stabilization and treatment to burned patients, as directed by their medical director or through advisors at one of the MN Burn Centers. Although burn patients should be transferred to the appropriate burn center as soon as possible, the extent of the incident and the availability of burn bed resources may exceed capacity of the burn center. If this occurs, patients may be transferred to an alternative location, such as a Burn Surge Hospital. Transportation arrangements should be coordinated by the initial hospital and the receiving facility, utilizing agreements with their Emergency Medical Services (EMS) partners.</w:t>
      </w:r>
    </w:p>
    <w:p w14:paraId="6F617F04"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The Regional EMS Coordinator would be notified immediately through the HMAC process and would assist in coordinating resources as well as obtaining any additional assets if local resources were outstripped. </w:t>
      </w:r>
    </w:p>
    <w:p w14:paraId="0A529D1D"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14:ligatures w14:val="none"/>
        </w:rPr>
      </w:pPr>
      <w:r w:rsidRPr="006D4EC7">
        <w:rPr>
          <w:rFonts w:ascii="Calibri" w:eastAsia="Times New Roman" w:hAnsi="Calibri" w:cs="Times New Roman"/>
          <w:kern w:val="0"/>
          <w:sz w:val="22"/>
          <w:lang w:eastAsia="en-US" w:bidi="en-US"/>
          <w14:ligatures w14:val="none"/>
        </w:rPr>
        <w:t xml:space="preserve">Recognizing that burn patients would potentially require at a minimum advanced life support (ALS) </w:t>
      </w:r>
      <w:proofErr w:type="gramStart"/>
      <w:r w:rsidRPr="006D4EC7">
        <w:rPr>
          <w:rFonts w:ascii="Calibri" w:eastAsia="Times New Roman" w:hAnsi="Calibri" w:cs="Times New Roman"/>
          <w:kern w:val="0"/>
          <w:sz w:val="22"/>
          <w:lang w:eastAsia="en-US" w:bidi="en-US"/>
          <w14:ligatures w14:val="none"/>
        </w:rPr>
        <w:t>assets</w:t>
      </w:r>
      <w:proofErr w:type="gramEnd"/>
      <w:r w:rsidRPr="006D4EC7">
        <w:rPr>
          <w:rFonts w:ascii="Calibri" w:eastAsia="Times New Roman" w:hAnsi="Calibri" w:cs="Times New Roman"/>
          <w:kern w:val="0"/>
          <w:sz w:val="22"/>
          <w:lang w:eastAsia="en-US" w:bidi="en-US"/>
          <w14:ligatures w14:val="none"/>
        </w:rPr>
        <w:t xml:space="preserve">. The Central Region does have several ALS services. In addition, there are times when air transportation would be advantageous, and two services operate within the region. Additional air transportation assets would be available through Regional EMS if needed. </w:t>
      </w:r>
    </w:p>
    <w:p w14:paraId="1E62214D" w14:textId="77777777" w:rsidR="006D4EC7" w:rsidRPr="006D4EC7" w:rsidRDefault="006D4EC7" w:rsidP="008E02A6">
      <w:pPr>
        <w:keepNext/>
        <w:keepLines/>
        <w:spacing w:before="240" w:line="276" w:lineRule="auto"/>
        <w:ind w:left="0" w:right="0"/>
        <w:outlineLvl w:val="1"/>
        <w:rPr>
          <w:rFonts w:ascii="Calibri" w:eastAsia="Calibri" w:hAnsi="Calibri" w:cs="Times New Roman"/>
          <w:b/>
          <w:kern w:val="0"/>
          <w:sz w:val="22"/>
          <w:lang w:eastAsia="en-US"/>
          <w14:ligatures w14:val="none"/>
        </w:rPr>
      </w:pPr>
      <w:bookmarkStart w:id="4" w:name="_Toc99650069"/>
      <w:bookmarkStart w:id="5" w:name="_Toc103709633"/>
      <w:r w:rsidRPr="006D4EC7">
        <w:rPr>
          <w:rFonts w:ascii="Calibri" w:eastAsia="Calibri" w:hAnsi="Calibri" w:cs="Times New Roman"/>
          <w:b/>
          <w:kern w:val="0"/>
          <w:sz w:val="22"/>
          <w:lang w:eastAsia="en-US"/>
          <w14:ligatures w14:val="none"/>
        </w:rPr>
        <w:t>Regional Burn Surge Hospital Identification</w:t>
      </w:r>
      <w:bookmarkEnd w:id="4"/>
      <w:bookmarkEnd w:id="5"/>
    </w:p>
    <w:p w14:paraId="1D2107C5" w14:textId="77777777" w:rsidR="008E02A6" w:rsidRPr="008E02A6"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Minnesota has identified Burn Surge Facilities (see MN Burn Plan). The Central healthcare preparedness coalition has identified a burn surge hospital to be utilized in a surge event. In coordination with the MN Burn Center, patients may be transferred from the initial receiving hospital to the Burn Surge facility who will provide treatment until more definitive care options are available. All burn victims will be triaged for transfer to specialty care based on the American College of Surgeons Burn Center Referral Criteria outlined in the statewide plan (Appendix E). The Burn Surge facility will be responsible to care for the burn patients in the event of a statewide surge. This responsibility can last up to 72 hours. The MN Burn Center will work with state partners to coordinate care and transportation of burn patients according to the MN State Burn Surge Plan.  </w:t>
      </w:r>
    </w:p>
    <w:p w14:paraId="37C98D9C" w14:textId="77777777" w:rsidR="008E02A6" w:rsidRPr="008E02A6" w:rsidRDefault="008E02A6" w:rsidP="008E02A6">
      <w:pPr>
        <w:spacing w:before="120" w:line="276" w:lineRule="auto"/>
        <w:ind w:left="0" w:right="0"/>
        <w:rPr>
          <w:rFonts w:ascii="Calibri" w:eastAsia="Times New Roman" w:hAnsi="Calibri" w:cs="Times New Roman"/>
          <w:kern w:val="0"/>
          <w:sz w:val="22"/>
          <w:lang w:eastAsia="en-US" w:bidi="en-US"/>
          <w14:ligatures w14:val="none"/>
        </w:rPr>
      </w:pPr>
    </w:p>
    <w:p w14:paraId="22F0F4C7" w14:textId="77777777" w:rsidR="008E02A6" w:rsidRPr="008E02A6"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The burn surge facility within the Central Region is: </w:t>
      </w:r>
    </w:p>
    <w:p w14:paraId="28BC9B98" w14:textId="77777777" w:rsidR="008E02A6" w:rsidRPr="008E02A6" w:rsidRDefault="006D4EC7" w:rsidP="008E02A6">
      <w:pPr>
        <w:spacing w:after="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St. Cloud Hospital</w:t>
      </w:r>
    </w:p>
    <w:p w14:paraId="1D438577" w14:textId="7B7AED41" w:rsidR="008E02A6" w:rsidRPr="008E02A6" w:rsidRDefault="006D4EC7" w:rsidP="008E02A6">
      <w:pPr>
        <w:spacing w:after="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1406 6</w:t>
      </w:r>
      <w:r w:rsidRPr="006D4EC7">
        <w:rPr>
          <w:rFonts w:ascii="Calibri" w:eastAsia="Times New Roman" w:hAnsi="Calibri" w:cs="Times New Roman"/>
          <w:kern w:val="0"/>
          <w:sz w:val="22"/>
          <w:vertAlign w:val="superscript"/>
          <w:lang w:eastAsia="en-US" w:bidi="en-US"/>
          <w14:ligatures w14:val="none"/>
        </w:rPr>
        <w:t>th</w:t>
      </w:r>
      <w:r w:rsidRPr="006D4EC7">
        <w:rPr>
          <w:rFonts w:ascii="Calibri" w:eastAsia="Times New Roman" w:hAnsi="Calibri" w:cs="Times New Roman"/>
          <w:kern w:val="0"/>
          <w:sz w:val="22"/>
          <w:lang w:eastAsia="en-US" w:bidi="en-US"/>
          <w14:ligatures w14:val="none"/>
        </w:rPr>
        <w:t xml:space="preserve"> Ave N. </w:t>
      </w:r>
    </w:p>
    <w:p w14:paraId="0CA39AEB" w14:textId="77777777" w:rsidR="008E02A6" w:rsidRPr="008E02A6" w:rsidRDefault="006D4EC7" w:rsidP="008E02A6">
      <w:pPr>
        <w:spacing w:after="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St. Cloud, MN 56303 </w:t>
      </w:r>
    </w:p>
    <w:p w14:paraId="35A4508E" w14:textId="6E89378F" w:rsidR="006D4EC7" w:rsidRPr="008E02A6" w:rsidRDefault="006D4EC7" w:rsidP="008E02A6">
      <w:pPr>
        <w:spacing w:after="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Phone: 888-387-2862</w:t>
      </w:r>
    </w:p>
    <w:p w14:paraId="2125578C" w14:textId="77777777" w:rsidR="008E02A6" w:rsidRPr="006D4EC7" w:rsidRDefault="008E02A6" w:rsidP="008E02A6">
      <w:pPr>
        <w:spacing w:after="0" w:line="276" w:lineRule="auto"/>
        <w:ind w:left="0" w:right="0"/>
        <w:rPr>
          <w:rFonts w:ascii="Calibri" w:eastAsia="Times New Roman" w:hAnsi="Calibri" w:cs="Times New Roman"/>
          <w:kern w:val="0"/>
          <w:sz w:val="22"/>
          <w:lang w:eastAsia="en-US" w:bidi="en-US"/>
          <w14:ligatures w14:val="none"/>
        </w:rPr>
      </w:pPr>
    </w:p>
    <w:p w14:paraId="7BB3194B"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Per the Minnesota Burn Surge Plan, the ABA verified Burn Centers may provide telephone/telemedicine expertise to assist BSFs caring for victims. Additionally, if all burn specialty staff are overwhelmed during the response, the HCCs can ask MDH-CEPR to request telemedicine support from the GLHP and the ABA Midwest Region.</w:t>
      </w:r>
    </w:p>
    <w:p w14:paraId="20DE5DEA"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bidi="en-US"/>
          <w14:ligatures w14:val="none"/>
        </w:rPr>
      </w:pPr>
    </w:p>
    <w:p w14:paraId="0DC5A3AA" w14:textId="77777777" w:rsidR="006D4EC7" w:rsidRPr="006D4EC7" w:rsidRDefault="006D4EC7" w:rsidP="008E02A6">
      <w:pPr>
        <w:keepNext/>
        <w:keepLines/>
        <w:spacing w:before="240" w:line="276" w:lineRule="auto"/>
        <w:ind w:left="0" w:right="0"/>
        <w:outlineLvl w:val="1"/>
        <w:rPr>
          <w:rFonts w:ascii="Calibri" w:eastAsia="Calibri" w:hAnsi="Calibri" w:cs="Times New Roman"/>
          <w:b/>
          <w:kern w:val="0"/>
          <w:sz w:val="22"/>
          <w:lang w:eastAsia="en-US"/>
          <w14:ligatures w14:val="none"/>
        </w:rPr>
      </w:pPr>
      <w:bookmarkStart w:id="6" w:name="_Toc99650070"/>
      <w:bookmarkStart w:id="7" w:name="_Toc103709634"/>
      <w:r w:rsidRPr="006D4EC7">
        <w:rPr>
          <w:rFonts w:ascii="Calibri" w:eastAsia="Calibri" w:hAnsi="Calibri" w:cs="Times New Roman"/>
          <w:b/>
          <w:kern w:val="0"/>
          <w:sz w:val="22"/>
          <w:lang w:eastAsia="en-US"/>
          <w14:ligatures w14:val="none"/>
        </w:rPr>
        <w:lastRenderedPageBreak/>
        <w:t>Role of the Regional Health Care Preparedness Coordinators (RHPC)</w:t>
      </w:r>
      <w:bookmarkEnd w:id="6"/>
      <w:bookmarkEnd w:id="7"/>
    </w:p>
    <w:p w14:paraId="7224796F"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During a burn surge event, the RHPCs in the state will be notified of the activation of the MN Burn Surge plan by the Metro Regional Healthcare Resource Center (RHRC). The RHPC will communicate with regional partners and together, a decision will be made if the HMAC needs to be opened, either physically or virtually. The HMAC will be available to assist with resource requests as needed during the surge event, however, they will not be directly involved in patient care activities and will not coordinate patient movement. If there is a request for identification of available beds within the region or in neighboring regions, the RHPC will initiate bed tracking within MNTrac.  The information obtained will be shared with the appropriate partners. The HMAC will communicate with regional partners according to the regional communication plan.    </w:t>
      </w:r>
    </w:p>
    <w:p w14:paraId="7C539EDE"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Prior to an event the RHPC also assesses the HVA’s within the region and discuss with local facilities any changes in risk. </w:t>
      </w:r>
    </w:p>
    <w:p w14:paraId="2F029B1E"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The RHPC also in contact with regional facilities regarding any specific resources helpful in a burn situation. Currently, the region does NOT have a cache of additional burn supplies beyond what the major level II facility has for normal operations. Additional support and supplies would be gathered within the region first and secondly asks of other coalitions would be needed in a larger event.</w:t>
      </w:r>
    </w:p>
    <w:p w14:paraId="12059A1B"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14:ligatures w14:val="none"/>
        </w:rPr>
      </w:pPr>
    </w:p>
    <w:p w14:paraId="7BF5A6DE" w14:textId="77777777" w:rsidR="006D4EC7" w:rsidRPr="006D4EC7" w:rsidRDefault="006D4EC7" w:rsidP="008E02A6">
      <w:pPr>
        <w:keepNext/>
        <w:keepLines/>
        <w:spacing w:before="240" w:line="276" w:lineRule="auto"/>
        <w:ind w:left="0" w:right="0"/>
        <w:outlineLvl w:val="1"/>
        <w:rPr>
          <w:rFonts w:ascii="Calibri" w:eastAsia="Calibri" w:hAnsi="Calibri" w:cs="Times New Roman"/>
          <w:b/>
          <w:kern w:val="0"/>
          <w:sz w:val="22"/>
          <w:lang w:eastAsia="en-US"/>
          <w14:ligatures w14:val="none"/>
        </w:rPr>
      </w:pPr>
      <w:bookmarkStart w:id="8" w:name="_Toc99650071"/>
      <w:bookmarkStart w:id="9" w:name="_Toc103709635"/>
      <w:r w:rsidRPr="006D4EC7">
        <w:rPr>
          <w:rFonts w:ascii="Calibri" w:eastAsia="Calibri" w:hAnsi="Calibri" w:cs="Times New Roman"/>
          <w:b/>
          <w:kern w:val="0"/>
          <w:sz w:val="22"/>
          <w:lang w:eastAsia="en-US"/>
          <w14:ligatures w14:val="none"/>
        </w:rPr>
        <w:t>Training and Exercise Recommendations</w:t>
      </w:r>
      <w:bookmarkEnd w:id="8"/>
      <w:bookmarkEnd w:id="9"/>
    </w:p>
    <w:p w14:paraId="1A0F812C"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It is important that first responders, EMS personnel, and first receiving hospitals have appropriate education and training to increase their knowledge, skills and abilities for the initial treatment and supportive care for the burn-injured patients. The CMHPC will make all attempts to assist in coordinating training opportunities. Each hospital within the CMHPC will be provided with one Advanced Burn Life Support (ABLS) Handbook. All efforts to facilitate or notify facilities of training opportunities will be provided by the RHPCs.</w:t>
      </w:r>
    </w:p>
    <w:p w14:paraId="279AF457" w14:textId="69091397" w:rsidR="008E02A6" w:rsidRDefault="006D4EC7" w:rsidP="008E02A6">
      <w:pPr>
        <w:spacing w:before="120" w:line="276" w:lineRule="auto"/>
        <w:ind w:left="0" w:right="0"/>
        <w:rPr>
          <w:rFonts w:ascii="Calibri" w:eastAsia="Times New Roman" w:hAnsi="Calibri" w:cs="Times New Roman"/>
          <w:kern w:val="0"/>
          <w:sz w:val="22"/>
          <w:lang w:eastAsia="en-US" w:bidi="en-US"/>
          <w14:ligatures w14:val="none"/>
        </w:rPr>
      </w:pPr>
      <w:r w:rsidRPr="006D4EC7">
        <w:rPr>
          <w:rFonts w:ascii="Calibri" w:eastAsia="Times New Roman" w:hAnsi="Calibri" w:cs="Times New Roman"/>
          <w:kern w:val="0"/>
          <w:sz w:val="22"/>
          <w:lang w:eastAsia="en-US" w:bidi="en-US"/>
          <w14:ligatures w14:val="none"/>
        </w:rPr>
        <w:t xml:space="preserve">The Minnesota Department of Health maintains just-in-time training resources online: </w:t>
      </w:r>
      <w:hyperlink r:id="rId14" w:history="1">
        <w:r w:rsidR="008E02A6" w:rsidRPr="008E02A6">
          <w:rPr>
            <w:rStyle w:val="Hyperlink"/>
            <w:rFonts w:ascii="Calibri" w:eastAsia="Times New Roman" w:hAnsi="Calibri" w:cs="Times New Roman"/>
            <w:kern w:val="0"/>
            <w:sz w:val="22"/>
            <w:lang w:eastAsia="en-US" w:bidi="en-US"/>
            <w14:ligatures w14:val="none"/>
          </w:rPr>
          <w:t>MDH Burn Surge training videos</w:t>
        </w:r>
      </w:hyperlink>
    </w:p>
    <w:p w14:paraId="5FDB2576" w14:textId="081EFB4A" w:rsidR="006D4EC7" w:rsidRPr="006D4EC7" w:rsidRDefault="006D4EC7" w:rsidP="008E02A6">
      <w:pPr>
        <w:spacing w:before="120" w:line="276" w:lineRule="auto"/>
        <w:ind w:left="0" w:right="0"/>
        <w:rPr>
          <w:rFonts w:ascii="Calibri" w:eastAsia="Times New Roman" w:hAnsi="Calibri" w:cs="Times New Roman"/>
          <w:kern w:val="0"/>
          <w:sz w:val="22"/>
          <w:lang w:eastAsia="en-US"/>
          <w14:ligatures w14:val="none"/>
        </w:rPr>
      </w:pPr>
      <w:r w:rsidRPr="006D4EC7">
        <w:rPr>
          <w:rFonts w:ascii="Calibri" w:eastAsia="Times New Roman" w:hAnsi="Calibri" w:cs="Times New Roman"/>
          <w:kern w:val="0"/>
          <w:sz w:val="22"/>
          <w:lang w:eastAsia="en-US" w:bidi="en-US"/>
          <w14:ligatures w14:val="none"/>
        </w:rPr>
        <w:t>These include videos, quick references to determine burn depth and surface area, order sets, and Resource and Triage Cards in the Patient Care Strategies for Scarce Resource Situations. All BSFs should use the Burn Care Supply recommendations outlined in the statewide plan for planning purposes.</w:t>
      </w:r>
    </w:p>
    <w:p w14:paraId="75390DB6" w14:textId="77777777" w:rsidR="006D4EC7" w:rsidRPr="006D4EC7" w:rsidRDefault="006D4EC7" w:rsidP="008E02A6">
      <w:pPr>
        <w:spacing w:before="120" w:line="276" w:lineRule="auto"/>
        <w:ind w:left="0" w:right="0"/>
        <w:rPr>
          <w:rFonts w:ascii="Calibri" w:eastAsia="Times New Roman" w:hAnsi="Calibri" w:cs="Times New Roman"/>
          <w:kern w:val="0"/>
          <w:sz w:val="22"/>
          <w:lang w:eastAsia="en-US"/>
          <w14:ligatures w14:val="none"/>
        </w:rPr>
      </w:pPr>
      <w:r w:rsidRPr="006D4EC7">
        <w:rPr>
          <w:rFonts w:ascii="Calibri" w:eastAsia="Times New Roman" w:hAnsi="Calibri" w:cs="Times New Roman"/>
          <w:kern w:val="0"/>
          <w:sz w:val="22"/>
          <w:lang w:eastAsia="en-US" w:bidi="en-US"/>
          <w14:ligatures w14:val="none"/>
        </w:rPr>
        <w:t xml:space="preserve">The HMAC may be activated to support a burn surge response.  Also see the sections on Communications and HMAC activation.  </w:t>
      </w:r>
    </w:p>
    <w:p w14:paraId="726A748B" w14:textId="0B6B62ED" w:rsidR="00CB6975" w:rsidRPr="008E02A6" w:rsidRDefault="00CB6975" w:rsidP="008E02A6">
      <w:pPr>
        <w:pStyle w:val="Heading2"/>
        <w:spacing w:line="276" w:lineRule="auto"/>
        <w:rPr>
          <w:rFonts w:cstheme="minorHAnsi"/>
          <w:sz w:val="22"/>
          <w:szCs w:val="22"/>
        </w:rPr>
      </w:pPr>
    </w:p>
    <w:sectPr w:rsidR="00CB6975" w:rsidRPr="008E02A6" w:rsidSect="00CB6975">
      <w:headerReference w:type="default" r:id="rId15"/>
      <w:footerReference w:type="default" r:id="rId16"/>
      <w:pgSz w:w="12240" w:h="15840"/>
      <w:pgMar w:top="1530" w:right="1339" w:bottom="1238" w:left="1325" w:header="95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4CDFC" w14:textId="77777777" w:rsidR="002C33D4" w:rsidRDefault="002C33D4">
      <w:r>
        <w:separator/>
      </w:r>
    </w:p>
    <w:p w14:paraId="01AF26A6" w14:textId="77777777" w:rsidR="002C33D4" w:rsidRDefault="002C33D4"/>
  </w:endnote>
  <w:endnote w:type="continuationSeparator" w:id="0">
    <w:p w14:paraId="0860F9E2" w14:textId="77777777" w:rsidR="002C33D4" w:rsidRDefault="002C33D4">
      <w:r>
        <w:continuationSeparator/>
      </w:r>
    </w:p>
    <w:p w14:paraId="0B5F168A" w14:textId="77777777" w:rsidR="002C33D4" w:rsidRDefault="002C33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778627"/>
      <w:docPartObj>
        <w:docPartGallery w:val="Page Numbers (Bottom of Page)"/>
        <w:docPartUnique/>
      </w:docPartObj>
    </w:sdtPr>
    <w:sdtEndPr>
      <w:rPr>
        <w:noProof/>
      </w:rPr>
    </w:sdtEndPr>
    <w:sdtContent>
      <w:p w14:paraId="1EF4FC9E" w14:textId="0EBD5708" w:rsidR="009E7127" w:rsidRDefault="009E712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5CD25" w14:textId="77777777" w:rsidR="009E7127" w:rsidRDefault="009E7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2EE6D" w14:textId="77777777" w:rsidR="002C33D4" w:rsidRDefault="002C33D4">
      <w:r>
        <w:separator/>
      </w:r>
    </w:p>
    <w:p w14:paraId="2C819315" w14:textId="77777777" w:rsidR="002C33D4" w:rsidRDefault="002C33D4"/>
  </w:footnote>
  <w:footnote w:type="continuationSeparator" w:id="0">
    <w:p w14:paraId="13EFCA9A" w14:textId="77777777" w:rsidR="002C33D4" w:rsidRDefault="002C33D4">
      <w:r>
        <w:continuationSeparator/>
      </w:r>
    </w:p>
    <w:p w14:paraId="713C351C" w14:textId="77777777" w:rsidR="002C33D4" w:rsidRDefault="002C33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E1492" w14:textId="32307AE8" w:rsidR="009E7127" w:rsidRDefault="009E7127">
    <w:pPr>
      <w:pStyle w:val="Header"/>
    </w:pPr>
    <w:r>
      <w:t>CMHPC Response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4F1"/>
    <w:multiLevelType w:val="hybridMultilevel"/>
    <w:tmpl w:val="A37C72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5507E05"/>
    <w:multiLevelType w:val="hybridMultilevel"/>
    <w:tmpl w:val="28CA26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6D30FA4"/>
    <w:multiLevelType w:val="hybridMultilevel"/>
    <w:tmpl w:val="8B70AADA"/>
    <w:lvl w:ilvl="0" w:tplc="8D06CB82">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15:restartNumberingAfterBreak="0">
    <w:nsid w:val="0810006D"/>
    <w:multiLevelType w:val="hybridMultilevel"/>
    <w:tmpl w:val="217605B2"/>
    <w:lvl w:ilvl="0" w:tplc="04090015">
      <w:start w:val="1"/>
      <w:numFmt w:val="upperLetter"/>
      <w:lvlText w:val="%1."/>
      <w:lvlJc w:val="left"/>
      <w:pPr>
        <w:ind w:left="1130" w:hanging="360"/>
      </w:p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4" w15:restartNumberingAfterBreak="0">
    <w:nsid w:val="08A01A80"/>
    <w:multiLevelType w:val="hybridMultilevel"/>
    <w:tmpl w:val="9DC2B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C6B0D8C"/>
    <w:multiLevelType w:val="hybridMultilevel"/>
    <w:tmpl w:val="CCA68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DC7D57"/>
    <w:multiLevelType w:val="hybridMultilevel"/>
    <w:tmpl w:val="7CE4D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9C17AC"/>
    <w:multiLevelType w:val="hybridMultilevel"/>
    <w:tmpl w:val="AEE043F2"/>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8" w15:restartNumberingAfterBreak="0">
    <w:nsid w:val="1A9738F5"/>
    <w:multiLevelType w:val="hybridMultilevel"/>
    <w:tmpl w:val="0B8A22C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587C6F"/>
    <w:multiLevelType w:val="hybridMultilevel"/>
    <w:tmpl w:val="E11A2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C31C21"/>
    <w:multiLevelType w:val="hybridMultilevel"/>
    <w:tmpl w:val="C3760D50"/>
    <w:lvl w:ilvl="0" w:tplc="0409000F">
      <w:start w:val="1"/>
      <w:numFmt w:val="decimal"/>
      <w:lvlText w:val="%1."/>
      <w:lvlJc w:val="left"/>
      <w:pPr>
        <w:ind w:left="1728" w:hanging="360"/>
      </w:pPr>
    </w:lvl>
    <w:lvl w:ilvl="1" w:tplc="04090019">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1"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35841"/>
    <w:multiLevelType w:val="hybridMultilevel"/>
    <w:tmpl w:val="125CCAF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3" w15:restartNumberingAfterBreak="0">
    <w:nsid w:val="2B017B72"/>
    <w:multiLevelType w:val="hybridMultilevel"/>
    <w:tmpl w:val="64160548"/>
    <w:lvl w:ilvl="0" w:tplc="ACF842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4F15DC"/>
    <w:multiLevelType w:val="hybridMultilevel"/>
    <w:tmpl w:val="8BFCE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CA0432E"/>
    <w:multiLevelType w:val="hybridMultilevel"/>
    <w:tmpl w:val="EC2E5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3546C4"/>
    <w:multiLevelType w:val="hybridMultilevel"/>
    <w:tmpl w:val="4A74C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E6A3A5E"/>
    <w:multiLevelType w:val="hybridMultilevel"/>
    <w:tmpl w:val="6270F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EFC0B75"/>
    <w:multiLevelType w:val="hybridMultilevel"/>
    <w:tmpl w:val="A73633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0762D8C"/>
    <w:multiLevelType w:val="hybridMultilevel"/>
    <w:tmpl w:val="21808136"/>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0" w15:restartNumberingAfterBreak="0">
    <w:nsid w:val="40EA2021"/>
    <w:multiLevelType w:val="hybridMultilevel"/>
    <w:tmpl w:val="B9185B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8A3298"/>
    <w:multiLevelType w:val="hybridMultilevel"/>
    <w:tmpl w:val="708C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487A2719"/>
    <w:multiLevelType w:val="hybridMultilevel"/>
    <w:tmpl w:val="D0C80DD6"/>
    <w:lvl w:ilvl="0" w:tplc="83B2B242">
      <w:start w:val="1"/>
      <w:numFmt w:val="bullet"/>
      <w:lvlText w:val=""/>
      <w:lvlJc w:val="left"/>
      <w:pPr>
        <w:tabs>
          <w:tab w:val="num" w:pos="1188"/>
        </w:tabs>
        <w:ind w:left="1188"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A62DBA"/>
    <w:multiLevelType w:val="hybridMultilevel"/>
    <w:tmpl w:val="B55AC176"/>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4090019" w:tentative="1">
      <w:start w:val="1"/>
      <w:numFmt w:val="lowerLetter"/>
      <w:lvlText w:val="%8."/>
      <w:lvlJc w:val="left"/>
      <w:pPr>
        <w:tabs>
          <w:tab w:val="num" w:pos="4608"/>
        </w:tabs>
        <w:ind w:left="4608" w:hanging="360"/>
      </w:pPr>
    </w:lvl>
    <w:lvl w:ilvl="8" w:tplc="0409001B" w:tentative="1">
      <w:start w:val="1"/>
      <w:numFmt w:val="lowerRoman"/>
      <w:lvlText w:val="%9."/>
      <w:lvlJc w:val="right"/>
      <w:pPr>
        <w:tabs>
          <w:tab w:val="num" w:pos="5328"/>
        </w:tabs>
        <w:ind w:left="5328" w:hanging="180"/>
      </w:pPr>
    </w:lvl>
  </w:abstractNum>
  <w:abstractNum w:abstractNumId="24" w15:restartNumberingAfterBreak="0">
    <w:nsid w:val="4DBE2A4B"/>
    <w:multiLevelType w:val="hybridMultilevel"/>
    <w:tmpl w:val="73CA93E2"/>
    <w:lvl w:ilvl="0" w:tplc="BD6C4B6E">
      <w:start w:val="1"/>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288"/>
        </w:tabs>
        <w:ind w:left="288" w:hanging="360"/>
      </w:pPr>
    </w:lvl>
    <w:lvl w:ilvl="2" w:tplc="8D06CB82">
      <w:start w:val="1"/>
      <w:numFmt w:val="upperLetter"/>
      <w:lvlText w:val="%3."/>
      <w:lvlJc w:val="left"/>
      <w:pPr>
        <w:tabs>
          <w:tab w:val="num" w:pos="1188"/>
        </w:tabs>
        <w:ind w:left="1188" w:hanging="360"/>
      </w:pPr>
      <w:rPr>
        <w:rFonts w:hint="default"/>
        <w:b w:val="0"/>
      </w:rPr>
    </w:lvl>
    <w:lvl w:ilvl="3" w:tplc="0409000F">
      <w:start w:val="1"/>
      <w:numFmt w:val="decimal"/>
      <w:lvlText w:val="%4."/>
      <w:lvlJc w:val="left"/>
      <w:pPr>
        <w:tabs>
          <w:tab w:val="num" w:pos="1728"/>
        </w:tabs>
        <w:ind w:left="1728" w:hanging="360"/>
      </w:pPr>
    </w:lvl>
    <w:lvl w:ilvl="4" w:tplc="04090019">
      <w:start w:val="1"/>
      <w:numFmt w:val="lowerLetter"/>
      <w:lvlText w:val="%5."/>
      <w:lvlJc w:val="left"/>
      <w:pPr>
        <w:tabs>
          <w:tab w:val="num" w:pos="2448"/>
        </w:tabs>
        <w:ind w:left="2448" w:hanging="360"/>
      </w:pPr>
    </w:lvl>
    <w:lvl w:ilvl="5" w:tplc="0409001B">
      <w:start w:val="1"/>
      <w:numFmt w:val="lowerRoman"/>
      <w:lvlText w:val="%6."/>
      <w:lvlJc w:val="right"/>
      <w:pPr>
        <w:tabs>
          <w:tab w:val="num" w:pos="3168"/>
        </w:tabs>
        <w:ind w:left="3168" w:hanging="180"/>
      </w:pPr>
    </w:lvl>
    <w:lvl w:ilvl="6" w:tplc="0409000F">
      <w:start w:val="1"/>
      <w:numFmt w:val="decimal"/>
      <w:lvlText w:val="%7."/>
      <w:lvlJc w:val="left"/>
      <w:pPr>
        <w:tabs>
          <w:tab w:val="num" w:pos="3888"/>
        </w:tabs>
        <w:ind w:left="3888" w:hanging="360"/>
      </w:pPr>
    </w:lvl>
    <w:lvl w:ilvl="7" w:tplc="0E24D748">
      <w:numFmt w:val="bullet"/>
      <w:lvlText w:val="•"/>
      <w:lvlJc w:val="left"/>
      <w:pPr>
        <w:ind w:left="4608" w:hanging="360"/>
      </w:pPr>
      <w:rPr>
        <w:rFonts w:ascii="Calibri" w:eastAsia="Times New Roman" w:hAnsi="Calibri" w:cs="Times New Roman" w:hint="default"/>
      </w:rPr>
    </w:lvl>
    <w:lvl w:ilvl="8" w:tplc="107E0372">
      <w:numFmt w:val="bullet"/>
      <w:lvlText w:val=""/>
      <w:lvlJc w:val="left"/>
      <w:pPr>
        <w:ind w:left="5508" w:hanging="360"/>
      </w:pPr>
      <w:rPr>
        <w:rFonts w:ascii="Symbol" w:eastAsia="Times New Roman" w:hAnsi="Symbol" w:cs="Times New Roman" w:hint="default"/>
      </w:rPr>
    </w:lvl>
  </w:abstractNum>
  <w:abstractNum w:abstractNumId="25" w15:restartNumberingAfterBreak="0">
    <w:nsid w:val="51B00D82"/>
    <w:multiLevelType w:val="hybridMultilevel"/>
    <w:tmpl w:val="C4048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257BEF"/>
    <w:multiLevelType w:val="hybridMultilevel"/>
    <w:tmpl w:val="D8FE34A4"/>
    <w:lvl w:ilvl="0" w:tplc="8D06CB82">
      <w:start w:val="1"/>
      <w:numFmt w:val="upperLetter"/>
      <w:lvlText w:val="%1."/>
      <w:lvlJc w:val="left"/>
      <w:pPr>
        <w:tabs>
          <w:tab w:val="num" w:pos="1530"/>
        </w:tabs>
        <w:ind w:left="1530" w:hanging="360"/>
      </w:pPr>
      <w:rPr>
        <w:rFonts w:hint="default"/>
        <w:b w:val="0"/>
      </w:rPr>
    </w:lvl>
    <w:lvl w:ilvl="1" w:tplc="04090019">
      <w:start w:val="1"/>
      <w:numFmt w:val="lowerLetter"/>
      <w:lvlText w:val="%2."/>
      <w:lvlJc w:val="left"/>
      <w:pPr>
        <w:ind w:left="1692" w:hanging="360"/>
      </w:pPr>
    </w:lvl>
    <w:lvl w:ilvl="2" w:tplc="0409001B">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7" w15:restartNumberingAfterBreak="0">
    <w:nsid w:val="548D61AD"/>
    <w:multiLevelType w:val="hybridMultilevel"/>
    <w:tmpl w:val="F0D8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66B1A3A"/>
    <w:multiLevelType w:val="hybridMultilevel"/>
    <w:tmpl w:val="B93CA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E264E4"/>
    <w:multiLevelType w:val="hybridMultilevel"/>
    <w:tmpl w:val="91781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455A47"/>
    <w:multiLevelType w:val="hybridMultilevel"/>
    <w:tmpl w:val="314E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ECC7889"/>
    <w:multiLevelType w:val="hybridMultilevel"/>
    <w:tmpl w:val="BFCC813E"/>
    <w:lvl w:ilvl="0" w:tplc="738EAF3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F633671"/>
    <w:multiLevelType w:val="hybridMultilevel"/>
    <w:tmpl w:val="86F6F962"/>
    <w:lvl w:ilvl="0" w:tplc="83B2B242">
      <w:start w:val="1"/>
      <w:numFmt w:val="bullet"/>
      <w:lvlText w:val=""/>
      <w:lvlJc w:val="left"/>
      <w:pPr>
        <w:tabs>
          <w:tab w:val="num" w:pos="1188"/>
        </w:tabs>
        <w:ind w:left="1188"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2438C5"/>
    <w:multiLevelType w:val="hybridMultilevel"/>
    <w:tmpl w:val="5A003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67433F8C"/>
    <w:multiLevelType w:val="hybridMultilevel"/>
    <w:tmpl w:val="547446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6745B"/>
    <w:multiLevelType w:val="hybridMultilevel"/>
    <w:tmpl w:val="0FF6A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C7674B"/>
    <w:multiLevelType w:val="hybridMultilevel"/>
    <w:tmpl w:val="08748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72B31711"/>
    <w:multiLevelType w:val="hybridMultilevel"/>
    <w:tmpl w:val="3AE84CBE"/>
    <w:lvl w:ilvl="0" w:tplc="8D06CB82">
      <w:start w:val="1"/>
      <w:numFmt w:val="upperLetter"/>
      <w:lvlText w:val="%1."/>
      <w:lvlJc w:val="left"/>
      <w:pPr>
        <w:ind w:left="1188" w:hanging="360"/>
      </w:pPr>
      <w:rPr>
        <w:b w:val="0"/>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38" w15:restartNumberingAfterBreak="0">
    <w:nsid w:val="7B1C3898"/>
    <w:multiLevelType w:val="hybridMultilevel"/>
    <w:tmpl w:val="CA7A5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7713D3"/>
    <w:multiLevelType w:val="hybridMultilevel"/>
    <w:tmpl w:val="1E74B120"/>
    <w:lvl w:ilvl="0" w:tplc="8D06CB82">
      <w:start w:val="1"/>
      <w:numFmt w:val="upperLetter"/>
      <w:lvlText w:val="%1."/>
      <w:lvlJc w:val="left"/>
      <w:pPr>
        <w:tabs>
          <w:tab w:val="num" w:pos="1188"/>
        </w:tabs>
        <w:ind w:left="1188"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6426493">
    <w:abstractNumId w:val="11"/>
  </w:num>
  <w:num w:numId="2" w16cid:durableId="991174568">
    <w:abstractNumId w:val="23"/>
  </w:num>
  <w:num w:numId="3" w16cid:durableId="260918932">
    <w:abstractNumId w:val="24"/>
  </w:num>
  <w:num w:numId="4" w16cid:durableId="901795649">
    <w:abstractNumId w:val="39"/>
  </w:num>
  <w:num w:numId="5" w16cid:durableId="1668678892">
    <w:abstractNumId w:val="2"/>
  </w:num>
  <w:num w:numId="6" w16cid:durableId="180553446">
    <w:abstractNumId w:val="7"/>
  </w:num>
  <w:num w:numId="7" w16cid:durableId="1634827576">
    <w:abstractNumId w:val="10"/>
  </w:num>
  <w:num w:numId="8" w16cid:durableId="908534241">
    <w:abstractNumId w:val="26"/>
  </w:num>
  <w:num w:numId="9" w16cid:durableId="1698121962">
    <w:abstractNumId w:val="18"/>
  </w:num>
  <w:num w:numId="10" w16cid:durableId="800536908">
    <w:abstractNumId w:val="35"/>
  </w:num>
  <w:num w:numId="11" w16cid:durableId="905726556">
    <w:abstractNumId w:val="4"/>
  </w:num>
  <w:num w:numId="12" w16cid:durableId="1589190450">
    <w:abstractNumId w:val="31"/>
  </w:num>
  <w:num w:numId="13" w16cid:durableId="870723786">
    <w:abstractNumId w:val="5"/>
  </w:num>
  <w:num w:numId="14" w16cid:durableId="1183085581">
    <w:abstractNumId w:val="33"/>
  </w:num>
  <w:num w:numId="15" w16cid:durableId="1682970754">
    <w:abstractNumId w:val="36"/>
  </w:num>
  <w:num w:numId="16" w16cid:durableId="1459294364">
    <w:abstractNumId w:val="16"/>
  </w:num>
  <w:num w:numId="17" w16cid:durableId="318308466">
    <w:abstractNumId w:val="21"/>
  </w:num>
  <w:num w:numId="18" w16cid:durableId="1387875159">
    <w:abstractNumId w:val="8"/>
  </w:num>
  <w:num w:numId="19" w16cid:durableId="1942570247">
    <w:abstractNumId w:val="27"/>
  </w:num>
  <w:num w:numId="20" w16cid:durableId="674724229">
    <w:abstractNumId w:val="25"/>
  </w:num>
  <w:num w:numId="21" w16cid:durableId="1106998576">
    <w:abstractNumId w:val="14"/>
  </w:num>
  <w:num w:numId="22" w16cid:durableId="1975526206">
    <w:abstractNumId w:val="30"/>
  </w:num>
  <w:num w:numId="23" w16cid:durableId="1036396239">
    <w:abstractNumId w:val="9"/>
  </w:num>
  <w:num w:numId="24" w16cid:durableId="1114593883">
    <w:abstractNumId w:val="15"/>
  </w:num>
  <w:num w:numId="25" w16cid:durableId="691152414">
    <w:abstractNumId w:val="20"/>
  </w:num>
  <w:num w:numId="26" w16cid:durableId="507983319">
    <w:abstractNumId w:val="29"/>
  </w:num>
  <w:num w:numId="27" w16cid:durableId="99958292">
    <w:abstractNumId w:val="6"/>
  </w:num>
  <w:num w:numId="28" w16cid:durableId="1172069323">
    <w:abstractNumId w:val="38"/>
  </w:num>
  <w:num w:numId="29" w16cid:durableId="1972319284">
    <w:abstractNumId w:val="34"/>
  </w:num>
  <w:num w:numId="30" w16cid:durableId="1782843190">
    <w:abstractNumId w:val="0"/>
  </w:num>
  <w:num w:numId="31" w16cid:durableId="928120925">
    <w:abstractNumId w:val="12"/>
  </w:num>
  <w:num w:numId="32" w16cid:durableId="2070760517">
    <w:abstractNumId w:val="19"/>
  </w:num>
  <w:num w:numId="33" w16cid:durableId="1793480165">
    <w:abstractNumId w:val="37"/>
  </w:num>
  <w:num w:numId="34" w16cid:durableId="1308172514">
    <w:abstractNumId w:val="32"/>
  </w:num>
  <w:num w:numId="35" w16cid:durableId="1101024354">
    <w:abstractNumId w:val="22"/>
  </w:num>
  <w:num w:numId="36" w16cid:durableId="1676886044">
    <w:abstractNumId w:val="17"/>
  </w:num>
  <w:num w:numId="37" w16cid:durableId="2030792704">
    <w:abstractNumId w:val="1"/>
  </w:num>
  <w:num w:numId="38" w16cid:durableId="688719007">
    <w:abstractNumId w:val="3"/>
  </w:num>
  <w:num w:numId="39" w16cid:durableId="608779527">
    <w:abstractNumId w:val="13"/>
  </w:num>
  <w:num w:numId="40" w16cid:durableId="1831866250">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55"/>
    <w:rsid w:val="0000425E"/>
    <w:rsid w:val="00033C61"/>
    <w:rsid w:val="0006297D"/>
    <w:rsid w:val="00081478"/>
    <w:rsid w:val="000A2AD6"/>
    <w:rsid w:val="000A3177"/>
    <w:rsid w:val="000A7002"/>
    <w:rsid w:val="000B42FC"/>
    <w:rsid w:val="000C505F"/>
    <w:rsid w:val="000E46C0"/>
    <w:rsid w:val="00103D8A"/>
    <w:rsid w:val="00115477"/>
    <w:rsid w:val="00116A1A"/>
    <w:rsid w:val="00120478"/>
    <w:rsid w:val="00123004"/>
    <w:rsid w:val="00127BC0"/>
    <w:rsid w:val="00133969"/>
    <w:rsid w:val="00137ED0"/>
    <w:rsid w:val="0018204A"/>
    <w:rsid w:val="00182738"/>
    <w:rsid w:val="001D4CAC"/>
    <w:rsid w:val="001E61D6"/>
    <w:rsid w:val="001F0B39"/>
    <w:rsid w:val="00246F68"/>
    <w:rsid w:val="002671C0"/>
    <w:rsid w:val="0027159A"/>
    <w:rsid w:val="0027589B"/>
    <w:rsid w:val="0028550B"/>
    <w:rsid w:val="002A008B"/>
    <w:rsid w:val="002A3D65"/>
    <w:rsid w:val="002C33D4"/>
    <w:rsid w:val="002E6E28"/>
    <w:rsid w:val="002F73E7"/>
    <w:rsid w:val="0031792E"/>
    <w:rsid w:val="00342094"/>
    <w:rsid w:val="003A09FC"/>
    <w:rsid w:val="003B2CC9"/>
    <w:rsid w:val="004037BD"/>
    <w:rsid w:val="004055D3"/>
    <w:rsid w:val="004132C0"/>
    <w:rsid w:val="004465CF"/>
    <w:rsid w:val="004548F7"/>
    <w:rsid w:val="00495986"/>
    <w:rsid w:val="004B2E9A"/>
    <w:rsid w:val="004D6E63"/>
    <w:rsid w:val="00515E5A"/>
    <w:rsid w:val="005209A5"/>
    <w:rsid w:val="00540A95"/>
    <w:rsid w:val="0054324F"/>
    <w:rsid w:val="00555ECE"/>
    <w:rsid w:val="00582C9A"/>
    <w:rsid w:val="00597DC7"/>
    <w:rsid w:val="005A17ED"/>
    <w:rsid w:val="005B0C5F"/>
    <w:rsid w:val="005B6041"/>
    <w:rsid w:val="005D3B38"/>
    <w:rsid w:val="006120F3"/>
    <w:rsid w:val="006502A8"/>
    <w:rsid w:val="00686A37"/>
    <w:rsid w:val="0069750E"/>
    <w:rsid w:val="006A05E1"/>
    <w:rsid w:val="006B23CD"/>
    <w:rsid w:val="006C544A"/>
    <w:rsid w:val="006D4EC7"/>
    <w:rsid w:val="006F36E2"/>
    <w:rsid w:val="007035F9"/>
    <w:rsid w:val="00742255"/>
    <w:rsid w:val="0075499D"/>
    <w:rsid w:val="00756488"/>
    <w:rsid w:val="00774F1E"/>
    <w:rsid w:val="0078350C"/>
    <w:rsid w:val="007B2CD5"/>
    <w:rsid w:val="007C6C9A"/>
    <w:rsid w:val="007E24F0"/>
    <w:rsid w:val="007E5787"/>
    <w:rsid w:val="007F2CF5"/>
    <w:rsid w:val="00806968"/>
    <w:rsid w:val="0081624A"/>
    <w:rsid w:val="0084060C"/>
    <w:rsid w:val="00841BFF"/>
    <w:rsid w:val="00852E49"/>
    <w:rsid w:val="0085463A"/>
    <w:rsid w:val="00874108"/>
    <w:rsid w:val="008827BA"/>
    <w:rsid w:val="008878AF"/>
    <w:rsid w:val="00890654"/>
    <w:rsid w:val="008A2F9B"/>
    <w:rsid w:val="008B6F13"/>
    <w:rsid w:val="008D242D"/>
    <w:rsid w:val="008E02A6"/>
    <w:rsid w:val="008F52C1"/>
    <w:rsid w:val="00901BCA"/>
    <w:rsid w:val="00981A3B"/>
    <w:rsid w:val="009A29C3"/>
    <w:rsid w:val="009A6E33"/>
    <w:rsid w:val="009B238B"/>
    <w:rsid w:val="009E7127"/>
    <w:rsid w:val="009F0A72"/>
    <w:rsid w:val="009F7F5A"/>
    <w:rsid w:val="00A10F5E"/>
    <w:rsid w:val="00A13456"/>
    <w:rsid w:val="00A35EDF"/>
    <w:rsid w:val="00A56F40"/>
    <w:rsid w:val="00A862BD"/>
    <w:rsid w:val="00AA124B"/>
    <w:rsid w:val="00AB1EC8"/>
    <w:rsid w:val="00AB4B9D"/>
    <w:rsid w:val="00B05A54"/>
    <w:rsid w:val="00B2594F"/>
    <w:rsid w:val="00BA7EB5"/>
    <w:rsid w:val="00BC76B2"/>
    <w:rsid w:val="00BD1B54"/>
    <w:rsid w:val="00BE3756"/>
    <w:rsid w:val="00BE4F06"/>
    <w:rsid w:val="00C26293"/>
    <w:rsid w:val="00C35C47"/>
    <w:rsid w:val="00C47C2A"/>
    <w:rsid w:val="00C746C0"/>
    <w:rsid w:val="00C779E3"/>
    <w:rsid w:val="00C91B01"/>
    <w:rsid w:val="00CA5F09"/>
    <w:rsid w:val="00CB6975"/>
    <w:rsid w:val="00CD78CE"/>
    <w:rsid w:val="00D12028"/>
    <w:rsid w:val="00D254B6"/>
    <w:rsid w:val="00D272CA"/>
    <w:rsid w:val="00D56573"/>
    <w:rsid w:val="00D64886"/>
    <w:rsid w:val="00DB1258"/>
    <w:rsid w:val="00DE1287"/>
    <w:rsid w:val="00DF738A"/>
    <w:rsid w:val="00E550A1"/>
    <w:rsid w:val="00E70A2E"/>
    <w:rsid w:val="00E8458C"/>
    <w:rsid w:val="00EE643A"/>
    <w:rsid w:val="00F115E5"/>
    <w:rsid w:val="00F145AD"/>
    <w:rsid w:val="00F248CA"/>
    <w:rsid w:val="00F7413D"/>
    <w:rsid w:val="00FA4913"/>
    <w:rsid w:val="00FA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8FFDE9"/>
  <w15:chartTrackingRefBased/>
  <w15:docId w15:val="{B0EA8DAD-6641-43AB-A6D8-46120B72A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787"/>
    <w:pPr>
      <w:spacing w:after="120" w:line="240" w:lineRule="auto"/>
      <w:ind w:left="72" w:right="72"/>
    </w:pPr>
    <w:rPr>
      <w:sz w:val="24"/>
    </w:rPr>
  </w:style>
  <w:style w:type="paragraph" w:styleId="Heading1">
    <w:name w:val="heading 1"/>
    <w:basedOn w:val="Normal"/>
    <w:next w:val="Normal"/>
    <w:link w:val="Heading1Char"/>
    <w:uiPriority w:val="1"/>
    <w:qFormat/>
    <w:rsid w:val="00C26293"/>
    <w:pPr>
      <w:keepNext/>
      <w:keepLines/>
      <w:spacing w:after="40"/>
      <w:outlineLvl w:val="0"/>
    </w:pPr>
    <w:rPr>
      <w:rFonts w:asciiTheme="majorHAnsi" w:eastAsiaTheme="majorEastAsia" w:hAnsiTheme="majorHAnsi" w:cstheme="majorBidi"/>
      <w:caps/>
      <w:color w:val="004C00" w:themeColor="accent3" w:themeShade="BF"/>
      <w:sz w:val="28"/>
      <w:szCs w:val="28"/>
    </w:rPr>
  </w:style>
  <w:style w:type="paragraph" w:styleId="Heading2">
    <w:name w:val="heading 2"/>
    <w:basedOn w:val="Normal"/>
    <w:next w:val="Normal"/>
    <w:link w:val="Heading2Char"/>
    <w:uiPriority w:val="1"/>
    <w:qFormat/>
    <w:rsid w:val="00CA5F09"/>
    <w:pPr>
      <w:keepNext/>
      <w:keepLines/>
      <w:spacing w:before="120"/>
      <w:outlineLvl w:val="1"/>
    </w:pPr>
    <w:rPr>
      <w:rFonts w:asciiTheme="majorHAnsi" w:eastAsiaTheme="majorEastAsia" w:hAnsiTheme="majorHAnsi" w:cstheme="majorBidi"/>
      <w:b/>
      <w:caps/>
      <w:color w:val="990033" w:themeColor="accent2"/>
      <w:szCs w:val="24"/>
    </w:rPr>
  </w:style>
  <w:style w:type="paragraph" w:styleId="Heading3">
    <w:name w:val="heading 3"/>
    <w:basedOn w:val="Normal"/>
    <w:next w:val="Normal"/>
    <w:link w:val="Heading3Char"/>
    <w:autoRedefine/>
    <w:uiPriority w:val="1"/>
    <w:qFormat/>
    <w:rsid w:val="00F145AD"/>
    <w:pPr>
      <w:keepNext/>
      <w:keepLines/>
      <w:spacing w:before="120"/>
      <w:ind w:left="0"/>
      <w:outlineLvl w:val="2"/>
    </w:pPr>
    <w:rPr>
      <w:rFonts w:asciiTheme="majorHAnsi" w:eastAsiaTheme="majorEastAsia" w:hAnsiTheme="majorHAnsi" w:cstheme="majorBidi"/>
      <w:b/>
      <w:caps/>
      <w:color w:val="0E57C4" w:themeColor="accent4"/>
    </w:rPr>
  </w:style>
  <w:style w:type="paragraph" w:styleId="Heading4">
    <w:name w:val="heading 4"/>
    <w:basedOn w:val="Normal"/>
    <w:next w:val="Normal"/>
    <w:link w:val="Heading4Char"/>
    <w:uiPriority w:val="9"/>
    <w:unhideWhenUsed/>
    <w:qFormat/>
    <w:rsid w:val="00CA5F09"/>
    <w:pPr>
      <w:keepNext/>
      <w:keepLines/>
      <w:spacing w:before="120" w:after="0"/>
      <w:outlineLvl w:val="3"/>
    </w:pPr>
    <w:rPr>
      <w:rFonts w:asciiTheme="majorHAnsi" w:eastAsiaTheme="majorEastAsia" w:hAnsiTheme="majorHAnsi" w:cstheme="majorBidi"/>
      <w:b/>
      <w:caps/>
      <w:color w:val="720026" w:themeColor="accent2" w:themeShade="BF"/>
      <w:sz w:val="22"/>
      <w:szCs w:val="24"/>
    </w:rPr>
  </w:style>
  <w:style w:type="paragraph" w:styleId="Heading5">
    <w:name w:val="heading 5"/>
    <w:basedOn w:val="Normal"/>
    <w:next w:val="Normal"/>
    <w:link w:val="Heading5Char"/>
    <w:uiPriority w:val="9"/>
    <w:semiHidden/>
    <w:unhideWhenUsed/>
    <w:qFormat/>
    <w:pPr>
      <w:keepNext/>
      <w:keepLines/>
      <w:spacing w:before="120" w:after="0"/>
      <w:outlineLvl w:val="4"/>
    </w:pPr>
    <w:rPr>
      <w:rFonts w:asciiTheme="majorHAnsi" w:eastAsiaTheme="majorEastAsia" w:hAnsiTheme="majorHAnsi" w:cstheme="majorBidi"/>
      <w:i/>
      <w:iCs/>
      <w:caps/>
      <w:szCs w:val="24"/>
    </w:rPr>
  </w:style>
  <w:style w:type="paragraph" w:styleId="Heading6">
    <w:name w:val="heading 6"/>
    <w:basedOn w:val="Normal"/>
    <w:next w:val="Normal"/>
    <w:link w:val="Heading6Char"/>
    <w:uiPriority w:val="9"/>
    <w:semiHidden/>
    <w:unhideWhenUsed/>
    <w:qFormat/>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26293"/>
    <w:rPr>
      <w:rFonts w:asciiTheme="majorHAnsi" w:eastAsiaTheme="majorEastAsia" w:hAnsiTheme="majorHAnsi" w:cstheme="majorBidi"/>
      <w:caps/>
      <w:color w:val="004C00" w:themeColor="accent3" w:themeShade="BF"/>
      <w:sz w:val="28"/>
      <w:szCs w:val="28"/>
    </w:rPr>
  </w:style>
  <w:style w:type="character" w:customStyle="1" w:styleId="Heading2Char">
    <w:name w:val="Heading 2 Char"/>
    <w:basedOn w:val="DefaultParagraphFont"/>
    <w:link w:val="Heading2"/>
    <w:uiPriority w:val="1"/>
    <w:rsid w:val="00CA5F09"/>
    <w:rPr>
      <w:rFonts w:asciiTheme="majorHAnsi" w:eastAsiaTheme="majorEastAsia" w:hAnsiTheme="majorHAnsi" w:cstheme="majorBidi"/>
      <w:b/>
      <w:caps/>
      <w:color w:val="990033" w:themeColor="accent2"/>
      <w:sz w:val="24"/>
      <w:szCs w:val="24"/>
    </w:rPr>
  </w:style>
  <w:style w:type="character" w:customStyle="1" w:styleId="Heading3Char">
    <w:name w:val="Heading 3 Char"/>
    <w:basedOn w:val="DefaultParagraphFont"/>
    <w:link w:val="Heading3"/>
    <w:uiPriority w:val="1"/>
    <w:rsid w:val="00F145AD"/>
    <w:rPr>
      <w:rFonts w:asciiTheme="majorHAnsi" w:eastAsiaTheme="majorEastAsia" w:hAnsiTheme="majorHAnsi" w:cstheme="majorBidi"/>
      <w:b/>
      <w:caps/>
      <w:color w:val="0E57C4" w:themeColor="accent4"/>
      <w:sz w:val="24"/>
    </w:rPr>
  </w:style>
  <w:style w:type="character" w:customStyle="1" w:styleId="Heading4Char">
    <w:name w:val="Heading 4 Char"/>
    <w:basedOn w:val="DefaultParagraphFont"/>
    <w:link w:val="Heading4"/>
    <w:uiPriority w:val="9"/>
    <w:rsid w:val="00CA5F09"/>
    <w:rPr>
      <w:rFonts w:asciiTheme="majorHAnsi" w:eastAsiaTheme="majorEastAsia" w:hAnsiTheme="majorHAnsi" w:cstheme="majorBidi"/>
      <w:b/>
      <w:caps/>
      <w:color w:val="720026" w:themeColor="accent2" w:themeShade="BF"/>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spacing w:after="0"/>
      <w:jc w:val="right"/>
    </w:pPr>
    <w:rPr>
      <w:rFonts w:asciiTheme="majorHAnsi" w:eastAsiaTheme="majorEastAsia" w:hAnsiTheme="majorHAnsi" w:cstheme="majorBidi"/>
      <w:caps/>
      <w:color w:val="990033"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990033"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bottom w:val="single" w:sz="4" w:space="0" w:color="90A1CF" w:themeColor="accent1" w:themeTint="99"/>
        </w:tcBorders>
      </w:tcPr>
    </w:tblStylePr>
    <w:tblStylePr w:type="nwCell">
      <w:tblPr/>
      <w:tcPr>
        <w:tcBorders>
          <w:bottom w:val="single" w:sz="4" w:space="0" w:color="90A1CF" w:themeColor="accent1" w:themeTint="99"/>
        </w:tcBorders>
      </w:tcPr>
    </w:tblStylePr>
    <w:tblStylePr w:type="seCell">
      <w:tblPr/>
      <w:tcPr>
        <w:tcBorders>
          <w:top w:val="single" w:sz="4" w:space="0" w:color="90A1CF" w:themeColor="accent1" w:themeTint="99"/>
        </w:tcBorders>
      </w:tcPr>
    </w:tblStylePr>
    <w:tblStylePr w:type="swCell">
      <w:tblPr/>
      <w:tcPr>
        <w:tcBorders>
          <w:top w:val="single" w:sz="4" w:space="0" w:color="90A1CF" w:themeColor="accent1" w:themeTint="99"/>
        </w:tcBorders>
      </w:tcPr>
    </w:tblStylePr>
  </w:style>
  <w:style w:type="table" w:styleId="ListTable7Colorful-Accent1">
    <w:name w:val="List Table 7 Colorful Accent 1"/>
    <w:basedOn w:val="TableNormal"/>
    <w:uiPriority w:val="52"/>
    <w:pPr>
      <w:spacing w:after="0" w:line="240" w:lineRule="auto"/>
    </w:pPr>
    <w:rPr>
      <w:color w:val="374C80"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4A66A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6A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6A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6AC" w:themeColor="accent1"/>
        </w:tcBorders>
        <w:shd w:val="clear" w:color="auto" w:fill="FFFFFF" w:themeFill="background1"/>
      </w:tcPr>
    </w:tblStylePr>
    <w:tblStylePr w:type="band1Vert">
      <w:tblPr/>
      <w:tcPr>
        <w:shd w:val="clear" w:color="auto" w:fill="D9DFEF" w:themeFill="accent1" w:themeFillTint="33"/>
      </w:tcPr>
    </w:tblStylePr>
    <w:tblStylePr w:type="band1Horz">
      <w:tblPr/>
      <w:tcPr>
        <w:shd w:val="clear" w:color="auto" w:fill="D9DF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9DF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6A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6A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6A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6AC" w:themeFill="accent1"/>
      </w:tcPr>
    </w:tblStylePr>
    <w:tblStylePr w:type="band1Vert">
      <w:tblPr/>
      <w:tcPr>
        <w:shd w:val="clear" w:color="auto" w:fill="B5C0DF" w:themeFill="accent1" w:themeFillTint="66"/>
      </w:tcPr>
    </w:tblStylePr>
    <w:tblStylePr w:type="band1Horz">
      <w:tblPr/>
      <w:tcPr>
        <w:shd w:val="clear" w:color="auto" w:fill="B5C0DF" w:themeFill="accent1" w:themeFillTint="66"/>
      </w:tcPr>
    </w:tblStylePr>
  </w:style>
  <w:style w:type="table" w:styleId="GridTable4-Accent6">
    <w:name w:val="Grid Table 4 Accent 6"/>
    <w:basedOn w:val="TableNormal"/>
    <w:uiPriority w:val="49"/>
    <w:pPr>
      <w:spacing w:after="0" w:line="240" w:lineRule="auto"/>
    </w:pPr>
    <w:tblPr>
      <w:tblStyleRowBandSize w:val="1"/>
      <w:tblStyleColBandSize w:val="1"/>
      <w:tblBorders>
        <w:top w:val="single" w:sz="4" w:space="0" w:color="5795F3" w:themeColor="accent6" w:themeTint="99"/>
        <w:left w:val="single" w:sz="4" w:space="0" w:color="5795F3" w:themeColor="accent6" w:themeTint="99"/>
        <w:bottom w:val="single" w:sz="4" w:space="0" w:color="5795F3" w:themeColor="accent6" w:themeTint="99"/>
        <w:right w:val="single" w:sz="4" w:space="0" w:color="5795F3" w:themeColor="accent6" w:themeTint="99"/>
        <w:insideH w:val="single" w:sz="4" w:space="0" w:color="5795F3" w:themeColor="accent6" w:themeTint="99"/>
        <w:insideV w:val="single" w:sz="4" w:space="0" w:color="5795F3" w:themeColor="accent6" w:themeTint="99"/>
      </w:tblBorders>
      <w:tblCellMar>
        <w:top w:w="29" w:type="dxa"/>
        <w:bottom w:w="29" w:type="dxa"/>
      </w:tblCellMar>
    </w:tblPr>
    <w:tblStylePr w:type="firstRow">
      <w:rPr>
        <w:b/>
        <w:bCs/>
        <w:color w:val="FFFFFF" w:themeColor="background1"/>
      </w:rPr>
      <w:tblPr/>
      <w:tcPr>
        <w:tcBorders>
          <w:top w:val="single" w:sz="4" w:space="0" w:color="0E57C4" w:themeColor="accent6"/>
          <w:left w:val="single" w:sz="4" w:space="0" w:color="0E57C4" w:themeColor="accent6"/>
          <w:bottom w:val="single" w:sz="4" w:space="0" w:color="0E57C4" w:themeColor="accent6"/>
          <w:right w:val="single" w:sz="4" w:space="0" w:color="0E57C4" w:themeColor="accent6"/>
          <w:insideH w:val="nil"/>
          <w:insideV w:val="nil"/>
        </w:tcBorders>
        <w:shd w:val="clear" w:color="auto" w:fill="0E57C4" w:themeFill="accent6"/>
      </w:tcPr>
    </w:tblStylePr>
    <w:tblStylePr w:type="lastRow">
      <w:rPr>
        <w:b/>
        <w:bCs/>
      </w:rPr>
      <w:tblPr/>
      <w:tcPr>
        <w:tcBorders>
          <w:top w:val="double" w:sz="4" w:space="0" w:color="0E57C4" w:themeColor="accent6"/>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line="240" w:lineRule="auto"/>
    </w:pPr>
    <w:tblPr>
      <w:tblStyleRowBandSize w:val="1"/>
      <w:tblStyleColBandSize w:val="1"/>
      <w:tblBorders>
        <w:top w:val="single" w:sz="4" w:space="0" w:color="90A1CF" w:themeColor="accent1" w:themeTint="99"/>
        <w:bottom w:val="single" w:sz="4" w:space="0" w:color="90A1CF" w:themeColor="accent1" w:themeTint="99"/>
        <w:insideH w:val="single" w:sz="4" w:space="0" w:color="90A1CF"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ListTable1Light-Accent2">
    <w:name w:val="List Table 1 Light Accent 2"/>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2870" w:themeColor="accent2" w:themeTint="99"/>
        </w:tcBorders>
      </w:tcPr>
    </w:tblStylePr>
    <w:tblStylePr w:type="lastRow">
      <w:rPr>
        <w:b/>
        <w:bCs/>
      </w:rPr>
      <w:tblPr/>
      <w:tcPr>
        <w:tcBorders>
          <w:top w:val="sing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styleId="PlaceholderText">
    <w:name w:val="Placeholder Text"/>
    <w:basedOn w:val="DefaultParagraphFont"/>
    <w:uiPriority w:val="99"/>
    <w:semiHidden/>
    <w:rPr>
      <w:color w:val="80808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CellMar>
        <w:top w:w="29" w:type="dxa"/>
        <w:bottom w:w="29" w:type="dxa"/>
      </w:tblCellMar>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table" w:styleId="GridTable4-Accent2">
    <w:name w:val="Grid Table 4 Accent 2"/>
    <w:basedOn w:val="TableNormal"/>
    <w:uiPriority w:val="49"/>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insideV w:val="single" w:sz="4" w:space="0" w:color="FF2870" w:themeColor="accent2" w:themeTint="99"/>
      </w:tblBorders>
      <w:tblCellMar>
        <w:top w:w="29" w:type="dxa"/>
        <w:bottom w:w="29" w:type="dxa"/>
      </w:tblCellMar>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insideV w:val="nil"/>
        </w:tcBorders>
        <w:shd w:val="clear" w:color="auto" w:fill="990033" w:themeFill="accent2"/>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PlainTable4">
    <w:name w:val="Plain Table 4"/>
    <w:basedOn w:val="TableNormal"/>
    <w:uiPriority w:val="4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line="240" w:lineRule="auto"/>
    </w:pPr>
    <w:tblPr>
      <w:tblStyleRowBandSize w:val="1"/>
      <w:tblStyleColBandSize w:val="1"/>
      <w:tblBorders>
        <w:top w:val="single" w:sz="4" w:space="0" w:color="8FB8F7" w:themeColor="accent6" w:themeTint="66"/>
        <w:left w:val="single" w:sz="4" w:space="0" w:color="8FB8F7" w:themeColor="accent6" w:themeTint="66"/>
        <w:bottom w:val="single" w:sz="4" w:space="0" w:color="8FB8F7" w:themeColor="accent6" w:themeTint="66"/>
        <w:right w:val="single" w:sz="4" w:space="0" w:color="8FB8F7" w:themeColor="accent6" w:themeTint="66"/>
        <w:insideH w:val="single" w:sz="4" w:space="0" w:color="8FB8F7" w:themeColor="accent6" w:themeTint="66"/>
        <w:insideV w:val="single" w:sz="4" w:space="0" w:color="8FB8F7" w:themeColor="accent6" w:themeTint="66"/>
      </w:tblBorders>
      <w:tblCellMar>
        <w:top w:w="29" w:type="dxa"/>
        <w:bottom w:w="29" w:type="dxa"/>
      </w:tblCellMar>
    </w:tblPr>
    <w:tblStylePr w:type="firstRow">
      <w:rPr>
        <w:b/>
        <w:bCs/>
      </w:rPr>
      <w:tblPr/>
      <w:tcPr>
        <w:tcBorders>
          <w:bottom w:val="single" w:sz="12" w:space="0" w:color="5795F3" w:themeColor="accent6" w:themeTint="99"/>
        </w:tcBorders>
      </w:tcPr>
    </w:tblStylePr>
    <w:tblStylePr w:type="lastRow">
      <w:rPr>
        <w:b/>
        <w:bCs/>
      </w:rPr>
      <w:tblPr/>
      <w:tcPr>
        <w:tcBorders>
          <w:top w:val="double" w:sz="2" w:space="0" w:color="5795F3"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795F3" w:themeColor="accent6" w:themeTint="99"/>
        </w:tcBorders>
      </w:tcPr>
    </w:tblStylePr>
    <w:tblStylePr w:type="lastRow">
      <w:rPr>
        <w:b/>
        <w:bCs/>
      </w:rPr>
      <w:tblPr/>
      <w:tcPr>
        <w:tcBorders>
          <w:top w:val="single" w:sz="4" w:space="0" w:color="5795F3" w:themeColor="accent6" w:themeTint="99"/>
        </w:tcBorders>
      </w:tcPr>
    </w:tblStylePr>
    <w:tblStylePr w:type="firstCol">
      <w:rPr>
        <w:b/>
        <w:bCs/>
      </w:rPr>
    </w:tblStylePr>
    <w:tblStylePr w:type="lastCol">
      <w:rPr>
        <w:b/>
        <w:bCs/>
      </w:rPr>
    </w:tblStylePr>
    <w:tblStylePr w:type="band1Vert">
      <w:tblPr/>
      <w:tcPr>
        <w:shd w:val="clear" w:color="auto" w:fill="C7DBFB" w:themeFill="accent6" w:themeFillTint="33"/>
      </w:tcPr>
    </w:tblStylePr>
    <w:tblStylePr w:type="band1Horz">
      <w:tblPr/>
      <w:tcPr>
        <w:shd w:val="clear" w:color="auto" w:fill="C7DBFB" w:themeFill="accent6" w:themeFillTint="33"/>
      </w:tcPr>
    </w:tblStylePr>
  </w:style>
  <w:style w:type="paragraph" w:styleId="Header">
    <w:name w:val="header"/>
    <w:basedOn w:val="Normal"/>
    <w:link w:val="HeaderChar"/>
    <w:unhideWhenUsed/>
    <w:pPr>
      <w:spacing w:after="0"/>
      <w:jc w:val="right"/>
    </w:pPr>
  </w:style>
  <w:style w:type="character" w:customStyle="1" w:styleId="HeaderChar">
    <w:name w:val="Header Char"/>
    <w:basedOn w:val="DefaultParagraphFont"/>
    <w:link w:val="Header"/>
    <w:uiPriority w:val="2"/>
  </w:style>
  <w:style w:type="paragraph" w:styleId="Footer">
    <w:name w:val="footer"/>
    <w:basedOn w:val="Normal"/>
    <w:link w:val="FooterChar"/>
    <w:uiPriority w:val="99"/>
    <w:unhideWhenUsed/>
    <w:pPr>
      <w:spacing w:after="0"/>
    </w:pPr>
  </w:style>
  <w:style w:type="character" w:customStyle="1" w:styleId="FooterChar">
    <w:name w:val="Footer Char"/>
    <w:basedOn w:val="DefaultParagraphFont"/>
    <w:link w:val="Footer"/>
    <w:uiPriority w:val="99"/>
  </w:style>
  <w:style w:type="table" w:customStyle="1" w:styleId="Noborders">
    <w:name w:val="No borders"/>
    <w:basedOn w:val="TableNormal"/>
    <w:uiPriority w:val="99"/>
    <w:pPr>
      <w:spacing w:after="0" w:line="240" w:lineRule="auto"/>
    </w:pPr>
    <w:tblPr/>
  </w:style>
  <w:style w:type="table" w:styleId="GridTable1Light-Accent1">
    <w:name w:val="Grid Table 1 Light Accent 1"/>
    <w:aliases w:val="Sample questionnaires table"/>
    <w:basedOn w:val="TableNormal"/>
    <w:uiPriority w:val="46"/>
    <w:pPr>
      <w:spacing w:after="0" w:line="240" w:lineRule="auto"/>
    </w:pPr>
    <w:tblPr>
      <w:tblStyleRowBandSize w:val="1"/>
      <w:tblStyleColBandSize w:val="1"/>
      <w:tblBorders>
        <w:insideH w:val="single" w:sz="4" w:space="0" w:color="4A66AC" w:themeColor="accent1"/>
      </w:tblBorders>
      <w:tblCellMar>
        <w:top w:w="29" w:type="dxa"/>
        <w:bottom w:w="29" w:type="dxa"/>
      </w:tblCellMar>
    </w:tblPr>
    <w:tblStylePr w:type="firstRow">
      <w:rPr>
        <w:b w:val="0"/>
        <w:bCs/>
      </w:rPr>
      <w:tblPr/>
      <w:tcPr>
        <w:tcBorders>
          <w:top w:val="nil"/>
          <w:left w:val="nil"/>
          <w:bottom w:val="single" w:sz="12" w:space="0" w:color="4A66AC" w:themeColor="accent1"/>
          <w:right w:val="nil"/>
          <w:insideH w:val="nil"/>
          <w:insideV w:val="nil"/>
          <w:tl2br w:val="nil"/>
          <w:tr2bl w:val="nil"/>
        </w:tcBorders>
      </w:tcPr>
    </w:tblStylePr>
    <w:tblStylePr w:type="lastRow">
      <w:rPr>
        <w:b/>
        <w:bCs/>
      </w:rPr>
      <w:tblPr/>
      <w:tcPr>
        <w:tcBorders>
          <w:top w:val="double" w:sz="2" w:space="0" w:color="90A1CF"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line="240" w:lineRule="auto"/>
    </w:pPr>
    <w:tblPr>
      <w:tblStyleRowBandSize w:val="1"/>
      <w:tblStyleColBandSize w:val="1"/>
      <w:tblBorders>
        <w:top w:val="single" w:sz="2" w:space="0" w:color="90A1CF" w:themeColor="accent1" w:themeTint="99"/>
        <w:bottom w:val="single" w:sz="2" w:space="0" w:color="90A1CF" w:themeColor="accent1" w:themeTint="99"/>
        <w:insideH w:val="single" w:sz="2" w:space="0" w:color="90A1CF" w:themeColor="accent1" w:themeTint="99"/>
        <w:insideV w:val="single" w:sz="2" w:space="0" w:color="90A1CF" w:themeColor="accent1" w:themeTint="99"/>
      </w:tblBorders>
      <w:tblCellMar>
        <w:top w:w="29" w:type="dxa"/>
        <w:bottom w:w="29" w:type="dxa"/>
      </w:tblCellMar>
    </w:tblPr>
    <w:tblStylePr w:type="firstRow">
      <w:rPr>
        <w:b/>
        <w:bCs/>
      </w:rPr>
      <w:tblPr/>
      <w:tcPr>
        <w:tcBorders>
          <w:top w:val="nil"/>
          <w:bottom w:val="single" w:sz="12" w:space="0" w:color="90A1CF" w:themeColor="accent1" w:themeTint="99"/>
          <w:insideH w:val="nil"/>
          <w:insideV w:val="nil"/>
        </w:tcBorders>
        <w:shd w:val="clear" w:color="auto" w:fill="FFFFFF" w:themeFill="background1"/>
      </w:tcPr>
    </w:tblStylePr>
    <w:tblStylePr w:type="lastRow">
      <w:rPr>
        <w:b/>
        <w:bCs/>
      </w:rPr>
      <w:tblPr/>
      <w:tcPr>
        <w:tcBorders>
          <w:top w:val="double" w:sz="2" w:space="0" w:color="90A1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customStyle="1" w:styleId="Logo">
    <w:name w:val="Logo"/>
    <w:basedOn w:val="Normal"/>
    <w:uiPriority w:val="1"/>
    <w:qFormat/>
    <w:pPr>
      <w:spacing w:after="1440"/>
      <w:jc w:val="right"/>
    </w:pPr>
    <w:rPr>
      <w:noProof/>
      <w:color w:val="1B1D3D"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spacing w:after="0"/>
      <w:jc w:val="right"/>
    </w:pPr>
    <w:rPr>
      <w:caps/>
    </w:rPr>
  </w:style>
  <w:style w:type="table" w:styleId="GridTable3-Accent3">
    <w:name w:val="Grid Table 3 Accent 3"/>
    <w:basedOn w:val="TableNormal"/>
    <w:uiPriority w:val="48"/>
    <w:pPr>
      <w:spacing w:after="0" w:line="240" w:lineRule="auto"/>
    </w:pPr>
    <w:tblPr>
      <w:tblStyleRowBandSize w:val="1"/>
      <w:tblStyleColBandSize w:val="1"/>
      <w:tblBorders>
        <w:top w:val="single" w:sz="4" w:space="0" w:color="0AFF0A" w:themeColor="accent3" w:themeTint="99"/>
        <w:left w:val="single" w:sz="4" w:space="0" w:color="0AFF0A" w:themeColor="accent3" w:themeTint="99"/>
        <w:bottom w:val="single" w:sz="4" w:space="0" w:color="0AFF0A" w:themeColor="accent3" w:themeTint="99"/>
        <w:right w:val="single" w:sz="4" w:space="0" w:color="0AFF0A" w:themeColor="accent3" w:themeTint="99"/>
        <w:insideH w:val="single" w:sz="4" w:space="0" w:color="0AFF0A" w:themeColor="accent3" w:themeTint="99"/>
        <w:insideV w:val="single" w:sz="4" w:space="0" w:color="0AFF0A"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DFFAD" w:themeFill="accent3" w:themeFillTint="33"/>
      </w:tcPr>
    </w:tblStylePr>
    <w:tblStylePr w:type="band1Horz">
      <w:tblPr/>
      <w:tcPr>
        <w:shd w:val="clear" w:color="auto" w:fill="ADFFAD" w:themeFill="accent3" w:themeFillTint="33"/>
      </w:tcPr>
    </w:tblStylePr>
    <w:tblStylePr w:type="neCell">
      <w:tblPr/>
      <w:tcPr>
        <w:tcBorders>
          <w:bottom w:val="single" w:sz="4" w:space="0" w:color="0AFF0A" w:themeColor="accent3" w:themeTint="99"/>
        </w:tcBorders>
      </w:tcPr>
    </w:tblStylePr>
    <w:tblStylePr w:type="nwCell">
      <w:tblPr/>
      <w:tcPr>
        <w:tcBorders>
          <w:bottom w:val="single" w:sz="4" w:space="0" w:color="0AFF0A" w:themeColor="accent3" w:themeTint="99"/>
        </w:tcBorders>
      </w:tcPr>
    </w:tblStylePr>
    <w:tblStylePr w:type="seCell">
      <w:tblPr/>
      <w:tcPr>
        <w:tcBorders>
          <w:top w:val="single" w:sz="4" w:space="0" w:color="0AFF0A" w:themeColor="accent3" w:themeTint="99"/>
        </w:tcBorders>
      </w:tcPr>
    </w:tblStylePr>
    <w:tblStylePr w:type="swCell">
      <w:tblPr/>
      <w:tcPr>
        <w:tcBorders>
          <w:top w:val="single" w:sz="4" w:space="0" w:color="0AFF0A" w:themeColor="accent3" w:themeTint="99"/>
        </w:tcBorders>
      </w:tcPr>
    </w:tblStylePr>
  </w:style>
  <w:style w:type="table" w:styleId="GridTable5Dark-Accent3">
    <w:name w:val="Grid Table 5 Dark Accent 3"/>
    <w:basedOn w:val="Table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DFFA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600" w:themeFill="accent3"/>
      </w:tcPr>
    </w:tblStylePr>
    <w:tblStylePr w:type="band1Vert">
      <w:tblPr/>
      <w:tcPr>
        <w:shd w:val="clear" w:color="auto" w:fill="5BFF5B" w:themeFill="accent3" w:themeFillTint="66"/>
      </w:tcPr>
    </w:tblStylePr>
    <w:tblStylePr w:type="band1Horz">
      <w:tblPr/>
      <w:tcPr>
        <w:shd w:val="clear" w:color="auto" w:fill="5BFF5B" w:themeFill="accent3" w:themeFillTint="66"/>
      </w:tcPr>
    </w:tblStylePr>
  </w:style>
  <w:style w:type="table" w:styleId="GridTable1Light-Accent3">
    <w:name w:val="Grid Table 1 Light Accent 3"/>
    <w:basedOn w:val="TableNormal"/>
    <w:uiPriority w:val="46"/>
    <w:pPr>
      <w:spacing w:after="0" w:line="240" w:lineRule="auto"/>
    </w:pPr>
    <w:tblPr>
      <w:tblStyleRowBandSize w:val="1"/>
      <w:tblStyleColBandSize w:val="1"/>
      <w:tblBorders>
        <w:top w:val="single" w:sz="4" w:space="0" w:color="5BFF5B" w:themeColor="accent3" w:themeTint="66"/>
        <w:left w:val="single" w:sz="4" w:space="0" w:color="5BFF5B" w:themeColor="accent3" w:themeTint="66"/>
        <w:bottom w:val="single" w:sz="4" w:space="0" w:color="5BFF5B" w:themeColor="accent3" w:themeTint="66"/>
        <w:right w:val="single" w:sz="4" w:space="0" w:color="5BFF5B" w:themeColor="accent3" w:themeTint="66"/>
        <w:insideH w:val="single" w:sz="4" w:space="0" w:color="5BFF5B" w:themeColor="accent3" w:themeTint="66"/>
        <w:insideV w:val="single" w:sz="4" w:space="0" w:color="5BFF5B" w:themeColor="accent3" w:themeTint="66"/>
      </w:tblBorders>
    </w:tblPr>
    <w:tblStylePr w:type="firstRow">
      <w:rPr>
        <w:b/>
        <w:bCs/>
      </w:rPr>
      <w:tblPr/>
      <w:tcPr>
        <w:tcBorders>
          <w:bottom w:val="single" w:sz="12" w:space="0" w:color="0AFF0A" w:themeColor="accent3" w:themeTint="99"/>
        </w:tcBorders>
      </w:tcPr>
    </w:tblStylePr>
    <w:tblStylePr w:type="lastRow">
      <w:rPr>
        <w:b/>
        <w:bCs/>
      </w:rPr>
      <w:tblPr/>
      <w:tcPr>
        <w:tcBorders>
          <w:top w:val="double" w:sz="2" w:space="0" w:color="0AFF0A"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1"/>
    <w:qFormat/>
    <w:rPr>
      <w:b/>
      <w:bCs/>
    </w:rPr>
  </w:style>
  <w:style w:type="paragraph" w:customStyle="1" w:styleId="Tabletext">
    <w:name w:val="Table text"/>
    <w:basedOn w:val="Normal"/>
    <w:uiPriority w:val="1"/>
    <w:qFormat/>
    <w:pPr>
      <w:spacing w:before="120" w:after="0"/>
    </w:pPr>
  </w:style>
  <w:style w:type="table" w:styleId="ListTable6Colorful-Accent2">
    <w:name w:val="List Table 6 Colorful Accent 2"/>
    <w:basedOn w:val="TableNormal"/>
    <w:uiPriority w:val="51"/>
    <w:pPr>
      <w:spacing w:after="0" w:line="240" w:lineRule="auto"/>
    </w:pPr>
    <w:rPr>
      <w:color w:val="720026" w:themeColor="accent2" w:themeShade="BF"/>
    </w:rPr>
    <w:tblPr>
      <w:tblStyleRowBandSize w:val="1"/>
      <w:tblStyleColBandSize w:val="1"/>
      <w:tblBorders>
        <w:top w:val="single" w:sz="4" w:space="0" w:color="990033" w:themeColor="accent2"/>
        <w:bottom w:val="single" w:sz="4" w:space="0" w:color="990033" w:themeColor="accent2"/>
      </w:tblBorders>
    </w:tblPr>
    <w:tblStylePr w:type="firstRow">
      <w:rPr>
        <w:b/>
        <w:bCs/>
      </w:rPr>
      <w:tblPr/>
      <w:tcPr>
        <w:tcBorders>
          <w:bottom w:val="single" w:sz="4" w:space="0" w:color="990033" w:themeColor="accent2"/>
        </w:tcBorders>
      </w:tcPr>
    </w:tblStylePr>
    <w:tblStylePr w:type="lastRow">
      <w:rPr>
        <w:b/>
        <w:bCs/>
      </w:rPr>
      <w:tblPr/>
      <w:tcPr>
        <w:tcBorders>
          <w:top w:val="double" w:sz="4" w:space="0" w:color="990033" w:themeColor="accent2"/>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table" w:styleId="GridTable1Light-Accent2">
    <w:name w:val="Grid Table 1 Light Accent 2"/>
    <w:basedOn w:val="TableNormal"/>
    <w:uiPriority w:val="46"/>
    <w:pPr>
      <w:spacing w:after="0" w:line="240" w:lineRule="auto"/>
    </w:pPr>
    <w:tblPr>
      <w:tblStyleRowBandSize w:val="1"/>
      <w:tblStyleColBandSize w:val="1"/>
      <w:tblBorders>
        <w:top w:val="single" w:sz="4" w:space="0" w:color="FF709F" w:themeColor="accent2" w:themeTint="66"/>
        <w:left w:val="single" w:sz="4" w:space="0" w:color="FF709F" w:themeColor="accent2" w:themeTint="66"/>
        <w:bottom w:val="single" w:sz="4" w:space="0" w:color="FF709F" w:themeColor="accent2" w:themeTint="66"/>
        <w:right w:val="single" w:sz="4" w:space="0" w:color="FF709F" w:themeColor="accent2" w:themeTint="66"/>
        <w:insideH w:val="single" w:sz="4" w:space="0" w:color="FF709F" w:themeColor="accent2" w:themeTint="66"/>
        <w:insideV w:val="single" w:sz="4" w:space="0" w:color="FF709F" w:themeColor="accent2" w:themeTint="66"/>
      </w:tblBorders>
    </w:tblPr>
    <w:tblStylePr w:type="firstRow">
      <w:rPr>
        <w:b/>
        <w:bCs/>
      </w:rPr>
      <w:tblPr/>
      <w:tcPr>
        <w:tcBorders>
          <w:bottom w:val="single" w:sz="12" w:space="0" w:color="FF2870" w:themeColor="accent2" w:themeTint="99"/>
        </w:tcBorders>
      </w:tcPr>
    </w:tblStylePr>
    <w:tblStylePr w:type="lastRow">
      <w:rPr>
        <w:b/>
        <w:bCs/>
      </w:rPr>
      <w:tblPr/>
      <w:tcPr>
        <w:tcBorders>
          <w:top w:val="double" w:sz="2" w:space="0" w:color="FF287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pPr>
  </w:style>
  <w:style w:type="paragraph" w:styleId="BodyText">
    <w:name w:val="Body Text"/>
    <w:basedOn w:val="Normal"/>
    <w:link w:val="BodyTextChar"/>
    <w:uiPriority w:val="1"/>
    <w:qFormat/>
    <w:rsid w:val="007E5787"/>
    <w:pPr>
      <w:widowControl w:val="0"/>
      <w:spacing w:after="0"/>
      <w:ind w:left="840" w:right="0" w:hanging="360"/>
    </w:pPr>
    <w:rPr>
      <w:rFonts w:ascii="Calibri" w:eastAsia="Calibri" w:hAnsi="Calibri"/>
      <w:kern w:val="0"/>
      <w:szCs w:val="24"/>
      <w:lang w:eastAsia="en-US"/>
      <w14:ligatures w14:val="none"/>
    </w:rPr>
  </w:style>
  <w:style w:type="character" w:customStyle="1" w:styleId="BodyTextChar">
    <w:name w:val="Body Text Char"/>
    <w:basedOn w:val="DefaultParagraphFont"/>
    <w:link w:val="BodyText"/>
    <w:uiPriority w:val="1"/>
    <w:rsid w:val="007E5787"/>
    <w:rPr>
      <w:rFonts w:ascii="Calibri" w:eastAsia="Calibri" w:hAnsi="Calibri"/>
      <w:kern w:val="0"/>
      <w:sz w:val="24"/>
      <w:szCs w:val="24"/>
      <w:lang w:eastAsia="en-US"/>
      <w14:ligatures w14:val="none"/>
    </w:rPr>
  </w:style>
  <w:style w:type="paragraph" w:customStyle="1" w:styleId="TableParagraph">
    <w:name w:val="Table Paragraph"/>
    <w:basedOn w:val="Normal"/>
    <w:uiPriority w:val="1"/>
    <w:qFormat/>
    <w:rsid w:val="007E5787"/>
    <w:pPr>
      <w:widowControl w:val="0"/>
      <w:spacing w:after="0"/>
      <w:ind w:left="0" w:right="0"/>
    </w:pPr>
    <w:rPr>
      <w:rFonts w:eastAsiaTheme="minorHAnsi"/>
      <w:kern w:val="0"/>
      <w:lang w:eastAsia="en-US"/>
      <w14:ligatures w14:val="none"/>
    </w:rPr>
  </w:style>
  <w:style w:type="paragraph" w:styleId="TOC1">
    <w:name w:val="toc 1"/>
    <w:basedOn w:val="Normal"/>
    <w:next w:val="Normal"/>
    <w:autoRedefine/>
    <w:uiPriority w:val="1"/>
    <w:unhideWhenUsed/>
    <w:qFormat/>
    <w:rsid w:val="0027159A"/>
    <w:pPr>
      <w:spacing w:after="100"/>
      <w:ind w:left="0"/>
    </w:pPr>
  </w:style>
  <w:style w:type="paragraph" w:styleId="TOC2">
    <w:name w:val="toc 2"/>
    <w:basedOn w:val="Normal"/>
    <w:next w:val="Normal"/>
    <w:autoRedefine/>
    <w:uiPriority w:val="39"/>
    <w:unhideWhenUsed/>
    <w:qFormat/>
    <w:rsid w:val="0027159A"/>
    <w:pPr>
      <w:spacing w:after="100"/>
      <w:ind w:left="240"/>
    </w:pPr>
  </w:style>
  <w:style w:type="paragraph" w:styleId="TOC3">
    <w:name w:val="toc 3"/>
    <w:basedOn w:val="Normal"/>
    <w:next w:val="Normal"/>
    <w:autoRedefine/>
    <w:uiPriority w:val="39"/>
    <w:unhideWhenUsed/>
    <w:qFormat/>
    <w:rsid w:val="0027159A"/>
    <w:pPr>
      <w:spacing w:after="100"/>
      <w:ind w:left="480"/>
    </w:pPr>
  </w:style>
  <w:style w:type="paragraph" w:styleId="ListParagraph">
    <w:name w:val="List Paragraph"/>
    <w:basedOn w:val="Normal"/>
    <w:link w:val="ListParagraphChar"/>
    <w:uiPriority w:val="34"/>
    <w:qFormat/>
    <w:rsid w:val="0027159A"/>
    <w:pPr>
      <w:widowControl w:val="0"/>
      <w:spacing w:after="0"/>
      <w:ind w:left="0" w:right="0"/>
    </w:pPr>
    <w:rPr>
      <w:rFonts w:eastAsiaTheme="minorHAnsi"/>
      <w:kern w:val="0"/>
      <w:sz w:val="22"/>
      <w:lang w:eastAsia="en-US"/>
      <w14:ligatures w14:val="none"/>
    </w:rPr>
  </w:style>
  <w:style w:type="character" w:styleId="Hyperlink">
    <w:name w:val="Hyperlink"/>
    <w:uiPriority w:val="99"/>
    <w:unhideWhenUsed/>
    <w:rsid w:val="00CB6975"/>
    <w:rPr>
      <w:color w:val="0563C1"/>
      <w:u w:val="single"/>
    </w:rPr>
  </w:style>
  <w:style w:type="paragraph" w:customStyle="1" w:styleId="footer8">
    <w:name w:val="footer 8"/>
    <w:basedOn w:val="Normal"/>
    <w:rsid w:val="00081478"/>
    <w:pPr>
      <w:spacing w:before="100" w:after="100" w:line="260" w:lineRule="exact"/>
      <w:ind w:left="0" w:right="0"/>
    </w:pPr>
    <w:rPr>
      <w:rFonts w:ascii="Times New Roman" w:eastAsia="Times New Roman" w:hAnsi="Times New Roman" w:cs="Times New Roman"/>
      <w:kern w:val="0"/>
      <w:sz w:val="16"/>
      <w:szCs w:val="20"/>
      <w:lang w:eastAsia="en-US"/>
      <w14:ligatures w14:val="none"/>
    </w:rPr>
  </w:style>
  <w:style w:type="paragraph" w:customStyle="1" w:styleId="MedCtr">
    <w:name w:val="MedCtr"/>
    <w:basedOn w:val="Normal"/>
    <w:rsid w:val="00081478"/>
    <w:pPr>
      <w:widowControl w:val="0"/>
      <w:tabs>
        <w:tab w:val="right" w:pos="10080"/>
      </w:tabs>
      <w:spacing w:after="20" w:line="360" w:lineRule="atLeast"/>
      <w:ind w:left="0" w:right="0"/>
    </w:pPr>
    <w:rPr>
      <w:rFonts w:ascii="Times New Roman" w:eastAsia="Times New Roman" w:hAnsi="Times New Roman" w:cs="Times New Roman"/>
      <w:b/>
      <w:kern w:val="0"/>
      <w:sz w:val="36"/>
      <w:szCs w:val="20"/>
      <w:lang w:eastAsia="en-US"/>
      <w14:ligatures w14:val="none"/>
    </w:rPr>
  </w:style>
  <w:style w:type="paragraph" w:customStyle="1" w:styleId="subject">
    <w:name w:val="subject"/>
    <w:basedOn w:val="Normal"/>
    <w:rsid w:val="00081478"/>
    <w:pPr>
      <w:widowControl w:val="0"/>
      <w:tabs>
        <w:tab w:val="left" w:pos="866"/>
      </w:tabs>
      <w:spacing w:before="100" w:after="80" w:line="280" w:lineRule="atLeast"/>
      <w:ind w:left="-101" w:right="0"/>
    </w:pPr>
    <w:rPr>
      <w:rFonts w:ascii="Times New Roman" w:eastAsia="Times New Roman" w:hAnsi="Times New Roman" w:cs="Times New Roman"/>
      <w:kern w:val="0"/>
      <w:sz w:val="16"/>
      <w:szCs w:val="20"/>
      <w:lang w:eastAsia="en-US"/>
      <w14:ligatures w14:val="none"/>
    </w:rPr>
  </w:style>
  <w:style w:type="paragraph" w:customStyle="1" w:styleId="manual">
    <w:name w:val="manual"/>
    <w:basedOn w:val="Normal"/>
    <w:rsid w:val="00081478"/>
    <w:pPr>
      <w:widowControl w:val="0"/>
      <w:spacing w:before="10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ection">
    <w:name w:val="section"/>
    <w:basedOn w:val="Normal"/>
    <w:rsid w:val="00081478"/>
    <w:pPr>
      <w:widowControl w:val="0"/>
      <w:spacing w:before="80" w:after="0" w:line="280" w:lineRule="atLeast"/>
      <w:ind w:left="0" w:right="0"/>
    </w:pPr>
    <w:rPr>
      <w:rFonts w:ascii="Times New Roman" w:eastAsia="Times New Roman" w:hAnsi="Times New Roman" w:cs="Times New Roman"/>
      <w:kern w:val="0"/>
      <w:sz w:val="16"/>
      <w:szCs w:val="20"/>
      <w:lang w:eastAsia="en-US"/>
      <w14:ligatures w14:val="none"/>
    </w:rPr>
  </w:style>
  <w:style w:type="paragraph" w:customStyle="1" w:styleId="subjecttext">
    <w:name w:val="subject text"/>
    <w:basedOn w:val="Normal"/>
    <w:rsid w:val="00081478"/>
    <w:pPr>
      <w:widowControl w:val="0"/>
      <w:tabs>
        <w:tab w:val="left" w:pos="866"/>
      </w:tabs>
      <w:spacing w:before="120" w:after="80" w:line="280" w:lineRule="atLeast"/>
      <w:ind w:left="-43" w:right="0"/>
    </w:pPr>
    <w:rPr>
      <w:rFonts w:ascii="Times New Roman" w:eastAsia="Times New Roman" w:hAnsi="Times New Roman" w:cs="Times New Roman"/>
      <w:kern w:val="0"/>
      <w:szCs w:val="20"/>
      <w:lang w:eastAsia="en-US"/>
      <w14:ligatures w14:val="none"/>
    </w:rPr>
  </w:style>
  <w:style w:type="paragraph" w:customStyle="1" w:styleId="chapter2">
    <w:name w:val="chapter2"/>
    <w:basedOn w:val="Header"/>
    <w:rsid w:val="00081478"/>
    <w:pPr>
      <w:widowControl w:val="0"/>
      <w:spacing w:before="20" w:after="140" w:line="280" w:lineRule="exact"/>
      <w:ind w:left="0" w:right="-72"/>
      <w:jc w:val="left"/>
    </w:pPr>
    <w:rPr>
      <w:rFonts w:ascii="Times New Roman" w:eastAsia="Times New Roman" w:hAnsi="Times New Roman" w:cs="Times New Roman"/>
      <w:kern w:val="0"/>
      <w:szCs w:val="20"/>
      <w:lang w:eastAsia="en-US"/>
      <w14:ligatures w14:val="none"/>
    </w:rPr>
  </w:style>
  <w:style w:type="paragraph" w:customStyle="1" w:styleId="chapter1">
    <w:name w:val="chapter1"/>
    <w:basedOn w:val="Normal"/>
    <w:rsid w:val="00081478"/>
    <w:pPr>
      <w:widowControl w:val="0"/>
      <w:spacing w:before="100" w:after="0" w:line="280" w:lineRule="atLeast"/>
      <w:ind w:left="0" w:right="0"/>
    </w:pPr>
    <w:rPr>
      <w:rFonts w:ascii="Times New Roman" w:eastAsia="Times New Roman" w:hAnsi="Times New Roman" w:cs="Times New Roman"/>
      <w:kern w:val="0"/>
      <w:szCs w:val="20"/>
      <w:lang w:eastAsia="en-US"/>
      <w14:ligatures w14:val="none"/>
    </w:rPr>
  </w:style>
  <w:style w:type="paragraph" w:customStyle="1" w:styleId="manualname">
    <w:name w:val="manual name"/>
    <w:basedOn w:val="Header"/>
    <w:rsid w:val="00081478"/>
    <w:pPr>
      <w:widowControl w:val="0"/>
      <w:tabs>
        <w:tab w:val="left" w:pos="-1440"/>
        <w:tab w:val="left" w:pos="792"/>
      </w:tabs>
      <w:spacing w:before="120" w:after="120" w:line="280" w:lineRule="exact"/>
      <w:ind w:left="0" w:right="0"/>
      <w:jc w:val="left"/>
    </w:pPr>
    <w:rPr>
      <w:rFonts w:ascii="Times New Roman" w:eastAsia="Times New Roman" w:hAnsi="Times New Roman" w:cs="Times New Roman"/>
      <w:kern w:val="0"/>
      <w:szCs w:val="20"/>
      <w:lang w:eastAsia="en-US"/>
      <w14:ligatures w14:val="none"/>
    </w:rPr>
  </w:style>
  <w:style w:type="paragraph" w:customStyle="1" w:styleId="header8">
    <w:name w:val="header8"/>
    <w:basedOn w:val="footer8"/>
    <w:rsid w:val="00081478"/>
    <w:pPr>
      <w:widowControl w:val="0"/>
      <w:autoSpaceDE w:val="0"/>
      <w:autoSpaceDN w:val="0"/>
      <w:adjustRightInd w:val="0"/>
      <w:spacing w:after="0"/>
    </w:pPr>
    <w:rPr>
      <w:szCs w:val="24"/>
    </w:rPr>
  </w:style>
  <w:style w:type="paragraph" w:customStyle="1" w:styleId="footerinfo">
    <w:name w:val="footer info"/>
    <w:basedOn w:val="Header"/>
    <w:rsid w:val="00081478"/>
    <w:pPr>
      <w:widowControl w:val="0"/>
      <w:spacing w:before="60" w:after="60" w:line="240" w:lineRule="atLeast"/>
      <w:ind w:left="0" w:right="0"/>
      <w:jc w:val="left"/>
    </w:pPr>
    <w:rPr>
      <w:rFonts w:ascii="Times New Roman" w:eastAsia="Times New Roman" w:hAnsi="Times New Roman" w:cs="Times New Roman"/>
      <w:kern w:val="0"/>
      <w:szCs w:val="20"/>
      <w:lang w:eastAsia="en-US"/>
      <w14:ligatures w14:val="none"/>
    </w:rPr>
  </w:style>
  <w:style w:type="paragraph" w:customStyle="1" w:styleId="footertitle">
    <w:name w:val="footer title"/>
    <w:basedOn w:val="Normal"/>
    <w:rsid w:val="00081478"/>
    <w:pPr>
      <w:widowControl w:val="0"/>
      <w:spacing w:before="60" w:after="60" w:line="240" w:lineRule="atLeast"/>
      <w:ind w:left="0" w:right="0"/>
    </w:pPr>
    <w:rPr>
      <w:rFonts w:ascii="Times New Roman" w:eastAsia="Times New Roman" w:hAnsi="Times New Roman" w:cs="Times New Roman"/>
      <w:kern w:val="0"/>
      <w:sz w:val="16"/>
      <w:szCs w:val="20"/>
      <w:lang w:eastAsia="en-US"/>
      <w14:ligatures w14:val="none"/>
    </w:rPr>
  </w:style>
  <w:style w:type="character" w:styleId="IntenseReference">
    <w:name w:val="Intense Reference"/>
    <w:basedOn w:val="DefaultParagraphFont"/>
    <w:uiPriority w:val="32"/>
    <w:qFormat/>
    <w:rsid w:val="00103D8A"/>
    <w:rPr>
      <w:b/>
      <w:bCs/>
      <w:smallCaps/>
      <w:color w:val="720026" w:themeColor="accent2" w:themeShade="BF"/>
      <w:spacing w:val="5"/>
      <w:sz w:val="22"/>
    </w:rPr>
  </w:style>
  <w:style w:type="table" w:customStyle="1" w:styleId="TableGrid1">
    <w:name w:val="Table Grid1"/>
    <w:basedOn w:val="TableNormal"/>
    <w:next w:val="TableGrid"/>
    <w:uiPriority w:val="39"/>
    <w:rsid w:val="00103D8A"/>
    <w:pPr>
      <w:spacing w:after="0" w:line="240" w:lineRule="auto"/>
    </w:pPr>
    <w:rPr>
      <w:rFonts w:eastAsia="Calibri"/>
      <w:kern w:val="0"/>
      <w:sz w:val="24"/>
      <w:lang w:eastAsia="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5">
    <w:name w:val="toc 5"/>
    <w:basedOn w:val="Normal"/>
    <w:next w:val="Normal"/>
    <w:autoRedefine/>
    <w:uiPriority w:val="39"/>
    <w:unhideWhenUsed/>
    <w:rsid w:val="00CA5F09"/>
    <w:pPr>
      <w:spacing w:after="100"/>
      <w:ind w:left="960"/>
    </w:pPr>
  </w:style>
  <w:style w:type="paragraph" w:styleId="TOC4">
    <w:name w:val="toc 4"/>
    <w:basedOn w:val="Normal"/>
    <w:next w:val="Normal"/>
    <w:autoRedefine/>
    <w:uiPriority w:val="39"/>
    <w:unhideWhenUsed/>
    <w:rsid w:val="00CA5F09"/>
    <w:pPr>
      <w:spacing w:after="100"/>
      <w:ind w:left="720"/>
    </w:pPr>
  </w:style>
  <w:style w:type="table" w:styleId="ListTable4-Accent2">
    <w:name w:val="List Table 4 Accent 2"/>
    <w:basedOn w:val="TableNormal"/>
    <w:uiPriority w:val="49"/>
    <w:rsid w:val="00123004"/>
    <w:pPr>
      <w:spacing w:after="0" w:line="240" w:lineRule="auto"/>
    </w:pPr>
    <w:tblPr>
      <w:tblStyleRowBandSize w:val="1"/>
      <w:tblStyleColBandSize w:val="1"/>
      <w:tblBorders>
        <w:top w:val="single" w:sz="4" w:space="0" w:color="FF2870" w:themeColor="accent2" w:themeTint="99"/>
        <w:left w:val="single" w:sz="4" w:space="0" w:color="FF2870" w:themeColor="accent2" w:themeTint="99"/>
        <w:bottom w:val="single" w:sz="4" w:space="0" w:color="FF2870" w:themeColor="accent2" w:themeTint="99"/>
        <w:right w:val="single" w:sz="4" w:space="0" w:color="FF2870" w:themeColor="accent2" w:themeTint="99"/>
        <w:insideH w:val="single" w:sz="4" w:space="0" w:color="FF2870" w:themeColor="accent2" w:themeTint="99"/>
      </w:tblBorders>
    </w:tblPr>
    <w:tblStylePr w:type="firstRow">
      <w:rPr>
        <w:b/>
        <w:bCs/>
        <w:color w:val="FFFFFF" w:themeColor="background1"/>
      </w:rPr>
      <w:tblPr/>
      <w:tcPr>
        <w:tcBorders>
          <w:top w:val="single" w:sz="4" w:space="0" w:color="990033" w:themeColor="accent2"/>
          <w:left w:val="single" w:sz="4" w:space="0" w:color="990033" w:themeColor="accent2"/>
          <w:bottom w:val="single" w:sz="4" w:space="0" w:color="990033" w:themeColor="accent2"/>
          <w:right w:val="single" w:sz="4" w:space="0" w:color="990033" w:themeColor="accent2"/>
          <w:insideH w:val="nil"/>
        </w:tcBorders>
        <w:shd w:val="clear" w:color="auto" w:fill="990033" w:themeFill="accent2"/>
      </w:tcPr>
    </w:tblStylePr>
    <w:tblStylePr w:type="lastRow">
      <w:rPr>
        <w:b/>
        <w:bCs/>
      </w:rPr>
      <w:tblPr/>
      <w:tcPr>
        <w:tcBorders>
          <w:top w:val="double" w:sz="4" w:space="0" w:color="FF2870" w:themeColor="accent2" w:themeTint="99"/>
        </w:tcBorders>
      </w:tcPr>
    </w:tblStylePr>
    <w:tblStylePr w:type="firstCol">
      <w:rPr>
        <w:b/>
        <w:bCs/>
      </w:rPr>
    </w:tblStylePr>
    <w:tblStylePr w:type="lastCol">
      <w:rPr>
        <w:b/>
        <w:bCs/>
      </w:rPr>
    </w:tblStylePr>
    <w:tblStylePr w:type="band1Vert">
      <w:tblPr/>
      <w:tcPr>
        <w:shd w:val="clear" w:color="auto" w:fill="FFB7CF" w:themeFill="accent2" w:themeFillTint="33"/>
      </w:tcPr>
    </w:tblStylePr>
    <w:tblStylePr w:type="band1Horz">
      <w:tblPr/>
      <w:tcPr>
        <w:shd w:val="clear" w:color="auto" w:fill="FFB7CF" w:themeFill="accent2" w:themeFillTint="33"/>
      </w:tcPr>
    </w:tblStylePr>
  </w:style>
  <w:style w:type="character" w:customStyle="1" w:styleId="ListParagraphChar">
    <w:name w:val="List Paragraph Char"/>
    <w:basedOn w:val="DefaultParagraphFont"/>
    <w:link w:val="ListParagraph"/>
    <w:uiPriority w:val="34"/>
    <w:rsid w:val="00540A95"/>
    <w:rPr>
      <w:rFonts w:eastAsiaTheme="minorHAnsi"/>
      <w:kern w:val="0"/>
      <w:lang w:eastAsia="en-US"/>
      <w14:ligatures w14:val="none"/>
    </w:rPr>
  </w:style>
  <w:style w:type="character" w:styleId="UnresolvedMention">
    <w:name w:val="Unresolved Mention"/>
    <w:basedOn w:val="DefaultParagraphFont"/>
    <w:uiPriority w:val="99"/>
    <w:semiHidden/>
    <w:unhideWhenUsed/>
    <w:rsid w:val="006D4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1080953049">
      <w:bodyDiv w:val="1"/>
      <w:marLeft w:val="0"/>
      <w:marRight w:val="0"/>
      <w:marTop w:val="0"/>
      <w:marBottom w:val="0"/>
      <w:divBdr>
        <w:top w:val="none" w:sz="0" w:space="0" w:color="auto"/>
        <w:left w:val="none" w:sz="0" w:space="0" w:color="auto"/>
        <w:bottom w:val="none" w:sz="0" w:space="0" w:color="auto"/>
        <w:right w:val="none" w:sz="0" w:space="0" w:color="auto"/>
      </w:divBdr>
    </w:div>
    <w:div w:id="1582174840">
      <w:bodyDiv w:val="1"/>
      <w:marLeft w:val="0"/>
      <w:marRight w:val="0"/>
      <w:marTop w:val="0"/>
      <w:marBottom w:val="0"/>
      <w:divBdr>
        <w:top w:val="none" w:sz="0" w:space="0" w:color="auto"/>
        <w:left w:val="none" w:sz="0" w:space="0" w:color="auto"/>
        <w:bottom w:val="none" w:sz="0" w:space="0" w:color="auto"/>
        <w:right w:val="none" w:sz="0" w:space="0" w:color="auto"/>
      </w:divBdr>
    </w:div>
    <w:div w:id="19858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state.mn.us/communities/ep/surge/burn/index.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ealth.state.mn.us/communities/ep/surge/burn/burnsurgeplan.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state.mn.us/communities/ep/surge/burn/video.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f284\AppData\Roaming\Microsoft\Templates\Project%20communication%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roject communication plan">
  <a:themeElements>
    <a:clrScheme name="Central Region">
      <a:dk1>
        <a:sysClr val="windowText" lastClr="000000"/>
      </a:dk1>
      <a:lt1>
        <a:sysClr val="window" lastClr="FFFFFF"/>
      </a:lt1>
      <a:dk2>
        <a:srgbClr val="242852"/>
      </a:dk2>
      <a:lt2>
        <a:srgbClr val="33CC33"/>
      </a:lt2>
      <a:accent1>
        <a:srgbClr val="4A66AC"/>
      </a:accent1>
      <a:accent2>
        <a:srgbClr val="990033"/>
      </a:accent2>
      <a:accent3>
        <a:srgbClr val="006600"/>
      </a:accent3>
      <a:accent4>
        <a:srgbClr val="0E57C4"/>
      </a:accent4>
      <a:accent5>
        <a:srgbClr val="660033"/>
      </a:accent5>
      <a:accent6>
        <a:srgbClr val="0E57C4"/>
      </a:accent6>
      <a:hlink>
        <a:srgbClr val="FF0000"/>
      </a:hlink>
      <a:folHlink>
        <a:srgbClr val="84B2F6"/>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658FFCE2972E41B776DAC0D5086AE6" ma:contentTypeVersion="13" ma:contentTypeDescription="Create a new document." ma:contentTypeScope="" ma:versionID="aa4e7831326c77bdfcf0193ff66ae5de">
  <xsd:schema xmlns:xsd="http://www.w3.org/2001/XMLSchema" xmlns:xs="http://www.w3.org/2001/XMLSchema" xmlns:p="http://schemas.microsoft.com/office/2006/metadata/properties" xmlns:ns1="http://schemas.microsoft.com/sharepoint/v3" xmlns:ns2="8df87aae-e328-4986-a8c9-261637ff1b68" xmlns:ns3="153508d8-27db-4d8a-8db6-5a3262c06944" targetNamespace="http://schemas.microsoft.com/office/2006/metadata/properties" ma:root="true" ma:fieldsID="09d2acef67f60a0417222a8a07035922" ns1:_="" ns2:_="" ns3:_="">
    <xsd:import namespace="http://schemas.microsoft.com/sharepoint/v3"/>
    <xsd:import namespace="8df87aae-e328-4986-a8c9-261637ff1b68"/>
    <xsd:import namespace="153508d8-27db-4d8a-8db6-5a3262c0694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7aae-e328-4986-a8c9-261637ff1b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3508d8-27db-4d8a-8db6-5a3262c0694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568A6C4-63B2-4DE3-8071-3AD4822373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df87aae-e328-4986-a8c9-261637ff1b68"/>
    <ds:schemaRef ds:uri="153508d8-27db-4d8a-8db6-5a3262c06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F2F377-6374-401D-82F0-3667F198D2BD}">
  <ds:schemaRefs>
    <ds:schemaRef ds:uri="http://schemas.microsoft.com/sharepoint/v3/contenttype/forms"/>
  </ds:schemaRefs>
</ds:datastoreItem>
</file>

<file path=customXml/itemProps4.xml><?xml version="1.0" encoding="utf-8"?>
<ds:datastoreItem xmlns:ds="http://schemas.openxmlformats.org/officeDocument/2006/customXml" ds:itemID="{BC9C845C-5121-42DC-B7A0-EFEBC3FDC850}">
  <ds:schemaRefs>
    <ds:schemaRef ds:uri="http://schemas.openxmlformats.org/officeDocument/2006/bibliography"/>
  </ds:schemaRefs>
</ds:datastoreItem>
</file>

<file path=customXml/itemProps5.xml><?xml version="1.0" encoding="utf-8"?>
<ds:datastoreItem xmlns:ds="http://schemas.openxmlformats.org/officeDocument/2006/customXml" ds:itemID="{4C479CEB-0D72-44FF-BD53-3BC94A1857A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Project communication plan</Template>
  <TotalTime>8</TotalTime>
  <Pages>5</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Appendix 3.5.1.1 cmhpc burn surge plan</vt:lpstr>
    </vt:vector>
  </TitlesOfParts>
  <Company/>
  <LinksUpToDate>false</LinksUpToDate>
  <CharactersWithSpaces>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3.5.1.1 cmhpc burn surge plan</dc:title>
  <dc:creator>Stoen, Shawn</dc:creator>
  <cp:keywords/>
  <cp:lastModifiedBy>Stoen, Shawn</cp:lastModifiedBy>
  <cp:revision>3</cp:revision>
  <cp:lastPrinted>2018-05-18T20:58:00Z</cp:lastPrinted>
  <dcterms:created xsi:type="dcterms:W3CDTF">2022-05-18T00:52:00Z</dcterms:created>
  <dcterms:modified xsi:type="dcterms:W3CDTF">2022-05-18T00:59:00Z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0x01010006658FFCE2972E41B776DAC0D5086AE6</vt:lpwstr>
  </property>
</Properties>
</file>