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sdt>
      <w:sdtPr>
        <w:id w:val="1484575045"/>
        <w:docPartObj>
          <w:docPartGallery w:val="Cover Pages"/>
          <w:docPartUnique/>
        </w:docPartObj>
      </w:sdtPr>
      <w:sdtEndPr/>
      <w:sdtContent>
        <w:p w:rsidR="00B64237" w:rsidRDefault="00B64237" w14:paraId="420778E0" w14:textId="77777777">
          <w:r w:rsidRPr="0029449F">
            <w:rPr>
              <w:noProof/>
              <w:color w:val="90A1CF" w:themeColor="accent1" w:themeTint="99"/>
            </w:rPr>
            <mc:AlternateContent>
              <mc:Choice Requires="wpg">
                <w:drawing>
                  <wp:anchor distT="0" distB="0" distL="114300" distR="114300" simplePos="0" relativeHeight="251659264" behindDoc="0" locked="0" layoutInCell="1" allowOverlap="1" wp14:anchorId="0142C528" wp14:editId="079F2D28">
                    <wp:simplePos x="0" y="0"/>
                    <wp:positionH relativeFrom="page">
                      <wp:posOffset>3295650</wp:posOffset>
                    </wp:positionH>
                    <wp:positionV relativeFrom="page">
                      <wp:posOffset>-6350</wp:posOffset>
                    </wp:positionV>
                    <wp:extent cx="4483101" cy="10064750"/>
                    <wp:effectExtent l="0" t="0" r="0" b="12700"/>
                    <wp:wrapNone/>
                    <wp:docPr id="453" name="Group 453"/>
                    <wp:cNvGraphicFramePr/>
                    <a:graphic xmlns:a="http://schemas.openxmlformats.org/drawingml/2006/main">
                      <a:graphicData uri="http://schemas.microsoft.com/office/word/2010/wordprocessingGroup">
                        <wpg:wgp>
                          <wpg:cNvGrpSpPr/>
                          <wpg:grpSpPr>
                            <a:xfrm>
                              <a:off x="0" y="0"/>
                              <a:ext cx="4483101" cy="10064750"/>
                              <a:chOff x="-1374774" y="-6350"/>
                              <a:chExt cx="4483101" cy="10064750"/>
                            </a:xfrm>
                          </wpg:grpSpPr>
                          <wps:wsp>
                            <wps:cNvPr id="459" name="Rectangle 459" descr="Light vertical"/>
                            <wps:cNvSpPr>
                              <a:spLocks noChangeArrowheads="1"/>
                            </wps:cNvSpPr>
                            <wps:spPr bwMode="auto">
                              <a:xfrm>
                                <a:off x="-488950" y="-635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365124" y="0"/>
                                <a:ext cx="3429865" cy="100584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1057273" y="0"/>
                                <a:ext cx="4165600" cy="268605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Pr="00B47230" w:rsidR="00173FD2" w:rsidRDefault="00173FD2" w14:paraId="146EA551" w14:textId="77777777">
                                      <w:pPr>
                                        <w:pStyle w:val="NoSpacing"/>
                                        <w:rPr>
                                          <w:b/>
                                          <w:color w:val="FFFFFF" w:themeColor="background1"/>
                                          <w:sz w:val="48"/>
                                          <w:szCs w:val="48"/>
                                        </w:rPr>
                                      </w:pPr>
                                      <w:r>
                                        <w:rPr>
                                          <w:b/>
                                          <w:color w:val="FFFFFF" w:themeColor="background1"/>
                                          <w:sz w:val="48"/>
                                          <w:szCs w:val="48"/>
                                        </w:rPr>
                                        <w:t xml:space="preserve">RESPONSE </w:t>
                                      </w:r>
                                      <w:r w:rsidRPr="00B47230">
                                        <w:rPr>
                                          <w:b/>
                                          <w:color w:val="FFFFFF" w:themeColor="background1"/>
                                          <w:sz w:val="48"/>
                                          <w:szCs w:val="48"/>
                                        </w:rPr>
                                        <w:t>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374774" y="6735375"/>
                                <a:ext cx="4483100" cy="317355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Pr="003528DD" w:rsidR="00173FD2" w:rsidRDefault="00173FD2" w14:paraId="7A6A2669" w14:textId="77777777">
                                      <w:pPr>
                                        <w:pStyle w:val="NoSpacing"/>
                                        <w:spacing w:line="360" w:lineRule="auto"/>
                                        <w:rPr>
                                          <w:b/>
                                          <w:color w:val="FFFFFF" w:themeColor="background1"/>
                                          <w:sz w:val="28"/>
                                          <w:szCs w:val="28"/>
                                        </w:rPr>
                                      </w:pPr>
                                      <w:r w:rsidRPr="003528DD">
                                        <w:rPr>
                                          <w:b/>
                                          <w:color w:val="FFFFFF" w:themeColor="background1"/>
                                          <w:sz w:val="28"/>
                                          <w:szCs w:val="28"/>
                                        </w:rPr>
                                        <w:t>Stoen, Shawn</w:t>
                                      </w:r>
                                    </w:p>
                                  </w:sdtContent>
                                </w:sdt>
                                <w:p w:rsidRPr="00CC5826" w:rsidR="00173FD2" w:rsidRDefault="00173FD2" w14:paraId="55509356" w14:textId="77777777">
                                  <w:pPr>
                                    <w:pStyle w:val="NoSpacing"/>
                                    <w:spacing w:line="360" w:lineRule="auto"/>
                                    <w:rPr>
                                      <w:b/>
                                      <w:color w:val="FFFFFF" w:themeColor="background1"/>
                                      <w:sz w:val="24"/>
                                      <w:szCs w:val="24"/>
                                    </w:rPr>
                                  </w:pPr>
                                  <w:r w:rsidRPr="00CC5826">
                                    <w:rPr>
                                      <w:b/>
                                      <w:color w:val="FFFFFF" w:themeColor="background1"/>
                                      <w:sz w:val="24"/>
                                      <w:szCs w:val="24"/>
                                    </w:rPr>
                                    <w:t>Regional Health Care Preparedness Coordinator</w:t>
                                  </w:r>
                                </w:p>
                                <w:p w:rsidRPr="00CC5826" w:rsidR="00173FD2" w:rsidRDefault="00B01BCE" w14:paraId="0F313A90" w14:textId="77777777">
                                  <w:pPr>
                                    <w:pStyle w:val="NoSpacing"/>
                                    <w:spacing w:line="360" w:lineRule="auto"/>
                                    <w:rPr>
                                      <w:b/>
                                      <w:color w:val="FFFFFF" w:themeColor="background1"/>
                                      <w:sz w:val="24"/>
                                      <w:szCs w:val="24"/>
                                    </w:rPr>
                                  </w:pPr>
                                  <w:hyperlink w:history="1" r:id="rId12">
                                    <w:r w:rsidRPr="00CC5826" w:rsidR="00173FD2">
                                      <w:rPr>
                                        <w:rStyle w:val="Hyperlink"/>
                                        <w:b/>
                                        <w:sz w:val="24"/>
                                        <w:szCs w:val="24"/>
                                      </w:rPr>
                                      <w:t>Shawn.stoen@centracare.com</w:t>
                                    </w:r>
                                  </w:hyperlink>
                                </w:p>
                                <w:p w:rsidRPr="00CC5826" w:rsidR="00173FD2" w:rsidRDefault="00173FD2" w14:paraId="6EA06480" w14:textId="77777777">
                                  <w:pPr>
                                    <w:pStyle w:val="NoSpacing"/>
                                    <w:spacing w:line="360" w:lineRule="auto"/>
                                    <w:rPr>
                                      <w:b/>
                                      <w:color w:val="FFFFFF" w:themeColor="background1"/>
                                      <w:sz w:val="24"/>
                                      <w:szCs w:val="24"/>
                                    </w:rPr>
                                  </w:pPr>
                                  <w:r w:rsidRPr="00CC5826">
                                    <w:rPr>
                                      <w:b/>
                                      <w:color w:val="FFFFFF" w:themeColor="background1"/>
                                      <w:sz w:val="24"/>
                                      <w:szCs w:val="24"/>
                                    </w:rPr>
                                    <w:t>320-760-3513</w:t>
                                  </w:r>
                                </w:p>
                                <w:p w:rsidR="00173FD2" w:rsidRDefault="00173FD2" w14:paraId="1A3C7990" w14:textId="77777777">
                                  <w:pPr>
                                    <w:pStyle w:val="NoSpacing"/>
                                    <w:spacing w:line="360" w:lineRule="auto"/>
                                    <w:rPr>
                                      <w:b/>
                                      <w:color w:val="FFFFFF" w:themeColor="background1"/>
                                      <w:sz w:val="24"/>
                                      <w:szCs w:val="24"/>
                                    </w:rPr>
                                  </w:pPr>
                                </w:p>
                                <w:p w:rsidRPr="00B47230" w:rsidR="00173FD2" w:rsidRDefault="00B9324A" w14:paraId="1D1054EB" w14:textId="4432B707">
                                  <w:pPr>
                                    <w:pStyle w:val="NoSpacing"/>
                                    <w:spacing w:line="360" w:lineRule="auto"/>
                                    <w:rPr>
                                      <w:b/>
                                      <w:color w:val="FFFFFF" w:themeColor="background1"/>
                                      <w:sz w:val="24"/>
                                      <w:szCs w:val="24"/>
                                    </w:rPr>
                                  </w:pPr>
                                  <w:proofErr w:type="gramStart"/>
                                  <w:r>
                                    <w:rPr>
                                      <w:b/>
                                      <w:color w:val="FFFFFF" w:themeColor="background1"/>
                                      <w:sz w:val="24"/>
                                      <w:szCs w:val="24"/>
                                    </w:rPr>
                                    <w:t>May,</w:t>
                                  </w:r>
                                  <w:proofErr w:type="gramEnd"/>
                                  <w:r>
                                    <w:rPr>
                                      <w:b/>
                                      <w:color w:val="FFFFFF" w:themeColor="background1"/>
                                      <w:sz w:val="24"/>
                                      <w:szCs w:val="24"/>
                                    </w:rPr>
                                    <w:t xml:space="preserve"> 2022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w14:anchorId="268EC021">
                  <v:group id="Group 453" style="position:absolute;left:0;text-align:left;margin-left:259.5pt;margin-top:-.5pt;width:353pt;height:792.5pt;z-index:251659264;mso-position-horizontal-relative:page;mso-position-vertical-relative:page" coordsize="44831,100647" coordorigin="-13747,-63" o:spid="_x0000_s1026" w14:anchorId="0142C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">
                    <v:rect id="Rectangle 459" style="position:absolute;left:-4889;top:-63;width:1385;height:100583;visibility:visible;mso-wrap-style:square;v-text-anchor:middle" alt="Light vertical" o:spid="_x0000_s1027" fillcolor="#5795f3 [1945]"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v:fill type="pattern" opacity="52428f" color2="white [3212]" o:title="" o:opacity2="52428f" r:id="rId13"/>
                      <v:shadow color="#d8d8d8" offset="3pt,3pt"/>
                    </v:rect>
                    <v:rect id="Rectangle 460" style="position:absolute;left:-3651;width:34298;height:100584;visibility:visible;mso-wrap-style:square;v-text-anchor:top" o:spid="_x0000_s1028" fillcolor="#903 [3205]" strokecolor="#4c0019 [160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"/>
                    <v:rect id="Rectangle 461" style="position:absolute;left:-10572;width:41655;height:26860;visibility:visible;mso-wrap-style:square;v-text-anchor:bottom" o:spid="_x0000_s1029"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v:fill opacity="52428f"/>
                      <v:shadow color="#d8d8d8" offset="3pt,3pt"/>
                      <v:textbox inset="28.8pt,14.4pt,14.4pt,14.4pt">
                        <w:txbxContent>
                          <w:sdt>
                            <w:sdtPr>
                              <w:id w:val="484585749"/>
                              <w:rPr>
                                <w:b/>
                                <w:color w:val="FFFFFF" w:themeColor="background1"/>
                                <w:sz w:val="48"/>
                                <w:szCs w:val="48"/>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Pr="00B47230" w:rsidR="00173FD2" w:rsidRDefault="00173FD2" w14:paraId="66A78983" w14:textId="77777777">
                                <w:pPr>
                                  <w:pStyle w:val="NoSpacing"/>
                                  <w:rPr>
                                    <w:b/>
                                    <w:color w:val="FFFFFF" w:themeColor="background1"/>
                                    <w:sz w:val="48"/>
                                    <w:szCs w:val="48"/>
                                  </w:rPr>
                                </w:pPr>
                                <w:r>
                                  <w:rPr>
                                    <w:b/>
                                    <w:color w:val="FFFFFF" w:themeColor="background1"/>
                                    <w:sz w:val="48"/>
                                    <w:szCs w:val="48"/>
                                  </w:rPr>
                                  <w:t xml:space="preserve">RESPONSE </w:t>
                                </w:r>
                                <w:r w:rsidRPr="00B47230">
                                  <w:rPr>
                                    <w:b/>
                                    <w:color w:val="FFFFFF" w:themeColor="background1"/>
                                    <w:sz w:val="48"/>
                                    <w:szCs w:val="48"/>
                                  </w:rPr>
                                  <w:t>PLAN</w:t>
                                </w:r>
                              </w:p>
                            </w:sdtContent>
                          </w:sdt>
                        </w:txbxContent>
                      </v:textbox>
                    </v:rect>
                    <v:rect id="Rectangle 9" style="position:absolute;left:-13747;top:67353;width:44830;height:31736;visibility:visible;mso-wrap-style:square;v-text-anchor:bottom" o:spid="_x0000_s1030"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v:fill opacity="52428f"/>
                      <v:shadow color="#d8d8d8" offset="3pt,3pt"/>
                      <v:textbox inset="28.8pt,14.4pt,14.4pt,14.4pt">
                        <w:txbxContent>
                          <w:sdt>
                            <w:sdtPr>
                              <w:id w:val="1699462108"/>
                              <w:rPr>
                                <w:b/>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Pr="003528DD" w:rsidR="00173FD2" w:rsidRDefault="00173FD2" w14:paraId="696A1195" w14:textId="77777777">
                                <w:pPr>
                                  <w:pStyle w:val="NoSpacing"/>
                                  <w:spacing w:line="360" w:lineRule="auto"/>
                                  <w:rPr>
                                    <w:b/>
                                    <w:color w:val="FFFFFF" w:themeColor="background1"/>
                                    <w:sz w:val="28"/>
                                    <w:szCs w:val="28"/>
                                  </w:rPr>
                                </w:pPr>
                                <w:r w:rsidRPr="003528DD">
                                  <w:rPr>
                                    <w:b/>
                                    <w:color w:val="FFFFFF" w:themeColor="background1"/>
                                    <w:sz w:val="28"/>
                                    <w:szCs w:val="28"/>
                                  </w:rPr>
                                  <w:t>Stoen, Shawn</w:t>
                                </w:r>
                              </w:p>
                            </w:sdtContent>
                          </w:sdt>
                          <w:p w:rsidRPr="00CC5826" w:rsidR="00173FD2" w:rsidRDefault="00173FD2" w14:paraId="0662A772" w14:textId="77777777">
                            <w:pPr>
                              <w:pStyle w:val="NoSpacing"/>
                              <w:spacing w:line="360" w:lineRule="auto"/>
                              <w:rPr>
                                <w:b/>
                                <w:color w:val="FFFFFF" w:themeColor="background1"/>
                                <w:sz w:val="24"/>
                                <w:szCs w:val="24"/>
                              </w:rPr>
                            </w:pPr>
                            <w:r w:rsidRPr="00CC5826">
                              <w:rPr>
                                <w:b/>
                                <w:color w:val="FFFFFF" w:themeColor="background1"/>
                                <w:sz w:val="24"/>
                                <w:szCs w:val="24"/>
                              </w:rPr>
                              <w:t>Regional Health Care Preparedness Coordinator</w:t>
                            </w:r>
                          </w:p>
                          <w:p w:rsidRPr="00CC5826" w:rsidR="00173FD2" w:rsidRDefault="00B01BCE" w14:paraId="58D01784" w14:textId="77777777">
                            <w:pPr>
                              <w:pStyle w:val="NoSpacing"/>
                              <w:spacing w:line="360" w:lineRule="auto"/>
                              <w:rPr>
                                <w:b/>
                                <w:color w:val="FFFFFF" w:themeColor="background1"/>
                                <w:sz w:val="24"/>
                                <w:szCs w:val="24"/>
                              </w:rPr>
                            </w:pPr>
                            <w:hyperlink w:history="1" r:id="rId14">
                              <w:r w:rsidRPr="00CC5826" w:rsidR="00173FD2">
                                <w:rPr>
                                  <w:rStyle w:val="Hyperlink"/>
                                  <w:b/>
                                  <w:sz w:val="24"/>
                                  <w:szCs w:val="24"/>
                                </w:rPr>
                                <w:t>Shawn.stoen@centracare.com</w:t>
                              </w:r>
                            </w:hyperlink>
                          </w:p>
                          <w:p w:rsidRPr="00CC5826" w:rsidR="00173FD2" w:rsidRDefault="00173FD2" w14:paraId="041E8842" w14:textId="77777777">
                            <w:pPr>
                              <w:pStyle w:val="NoSpacing"/>
                              <w:spacing w:line="360" w:lineRule="auto"/>
                              <w:rPr>
                                <w:b/>
                                <w:color w:val="FFFFFF" w:themeColor="background1"/>
                                <w:sz w:val="24"/>
                                <w:szCs w:val="24"/>
                              </w:rPr>
                            </w:pPr>
                            <w:r w:rsidRPr="00CC5826">
                              <w:rPr>
                                <w:b/>
                                <w:color w:val="FFFFFF" w:themeColor="background1"/>
                                <w:sz w:val="24"/>
                                <w:szCs w:val="24"/>
                              </w:rPr>
                              <w:t>320-760-3513</w:t>
                            </w:r>
                          </w:p>
                          <w:p w:rsidR="00173FD2" w:rsidRDefault="00173FD2" w14:paraId="672A6659" w14:textId="77777777">
                            <w:pPr>
                              <w:pStyle w:val="NoSpacing"/>
                              <w:spacing w:line="360" w:lineRule="auto"/>
                              <w:rPr>
                                <w:b/>
                                <w:color w:val="FFFFFF" w:themeColor="background1"/>
                                <w:sz w:val="24"/>
                                <w:szCs w:val="24"/>
                              </w:rPr>
                            </w:pPr>
                          </w:p>
                          <w:p w:rsidRPr="00B47230" w:rsidR="00173FD2" w:rsidRDefault="00B9324A" w14:paraId="5327B464" w14:textId="4432B707">
                            <w:pPr>
                              <w:pStyle w:val="NoSpacing"/>
                              <w:spacing w:line="360" w:lineRule="auto"/>
                              <w:rPr>
                                <w:b/>
                                <w:color w:val="FFFFFF" w:themeColor="background1"/>
                                <w:sz w:val="24"/>
                                <w:szCs w:val="24"/>
                              </w:rPr>
                            </w:pPr>
                            <w:proofErr w:type="gramStart"/>
                            <w:r>
                              <w:rPr>
                                <w:b/>
                                <w:color w:val="FFFFFF" w:themeColor="background1"/>
                                <w:sz w:val="24"/>
                                <w:szCs w:val="24"/>
                              </w:rPr>
                              <w:t>May,</w:t>
                            </w:r>
                            <w:proofErr w:type="gramEnd"/>
                            <w:r>
                              <w:rPr>
                                <w:b/>
                                <w:color w:val="FFFFFF" w:themeColor="background1"/>
                                <w:sz w:val="24"/>
                                <w:szCs w:val="24"/>
                              </w:rPr>
                              <w:t xml:space="preserve"> 2022</w:t>
                            </w:r>
                          </w:p>
                        </w:txbxContent>
                      </v:textbox>
                    </v:rect>
                    <w10:wrap anchorx="page" anchory="page"/>
                  </v:group>
                </w:pict>
              </mc:Fallback>
            </mc:AlternateContent>
          </w:r>
        </w:p>
        <w:p w:rsidR="009E2840" w:rsidRDefault="00B9324A" w14:paraId="33B506D0" w14:textId="02D51A7D">
          <w:r>
            <w:rPr>
              <w:noProof/>
            </w:rPr>
            <w:drawing>
              <wp:anchor distT="0" distB="0" distL="114300" distR="114300" simplePos="0" relativeHeight="251673600" behindDoc="0" locked="0" layoutInCell="1" allowOverlap="1" wp14:anchorId="4465F1E5" wp14:editId="0AA7A402">
                <wp:simplePos x="0" y="0"/>
                <wp:positionH relativeFrom="column">
                  <wp:posOffset>336550</wp:posOffset>
                </wp:positionH>
                <wp:positionV relativeFrom="paragraph">
                  <wp:posOffset>387985</wp:posOffset>
                </wp:positionV>
                <wp:extent cx="1915441" cy="1809750"/>
                <wp:effectExtent l="0" t="0" r="889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5441" cy="1809750"/>
                        </a:xfrm>
                        <a:prstGeom prst="rect">
                          <a:avLst/>
                        </a:prstGeom>
                        <a:noFill/>
                      </pic:spPr>
                    </pic:pic>
                  </a:graphicData>
                </a:graphic>
              </wp:anchor>
            </w:drawing>
          </w:r>
          <w:r w:rsidR="00513542">
            <w:rPr>
              <w:noProof/>
            </w:rPr>
            <mc:AlternateContent>
              <mc:Choice Requires="wps">
                <w:drawing>
                  <wp:anchor distT="0" distB="0" distL="114300" distR="114300" simplePos="0" relativeHeight="251661312" behindDoc="0" locked="0" layoutInCell="0" allowOverlap="1" wp14:anchorId="02475A3B" wp14:editId="1035305B">
                    <wp:simplePos x="0" y="0"/>
                    <wp:positionH relativeFrom="page">
                      <wp:posOffset>0</wp:posOffset>
                    </wp:positionH>
                    <wp:positionV relativeFrom="page">
                      <wp:posOffset>3419475</wp:posOffset>
                    </wp:positionV>
                    <wp:extent cx="6970395" cy="640080"/>
                    <wp:effectExtent l="0" t="0" r="15240"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sdt>
                                <w:sdtPr>
                                  <w:rPr>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Pr="0095521C" w:rsidR="00173FD2" w:rsidP="00B9324A" w:rsidRDefault="00173FD2" w14:paraId="25BC9A45" w14:textId="28280F56">
                                    <w:pPr>
                                      <w:pStyle w:val="NoSpacing"/>
                                      <w:ind w:left="0"/>
                                      <w:rPr>
                                        <w:sz w:val="72"/>
                                        <w:szCs w:val="72"/>
                                      </w:rPr>
                                    </w:pPr>
                                    <w:r w:rsidRPr="0095521C">
                                      <w:rPr>
                                        <w:sz w:val="44"/>
                                        <w:szCs w:val="44"/>
                                      </w:rPr>
                                      <w:t>Central MN Health Care Preparedness Coalition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w14:anchorId="7BEFDAFB">
                  <v:rect id="Rectangle 16" style="position:absolute;left:0;text-align:left;margin-left:0;margin-top:269.25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spid="_x0000_s1031" o:allowincell="f" fillcolor="#603 [3208]" strokecolor="#320019 [1608]" strokeweight="1pt" w14:anchorId="02475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">
                    <v:textbox style="mso-fit-shape-to-text:t" inset="14.4pt,,14.4pt">
                      <w:txbxContent>
                        <w:sdt>
                          <w:sdtPr>
                            <w:id w:val="1188999243"/>
                            <w:rPr>
                              <w:sz w:val="44"/>
                              <w:szCs w:val="44"/>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Pr="0095521C" w:rsidR="00173FD2" w:rsidP="00B9324A" w:rsidRDefault="00173FD2" w14:paraId="14C68392" w14:textId="28280F56">
                              <w:pPr>
                                <w:pStyle w:val="NoSpacing"/>
                                <w:ind w:left="0"/>
                                <w:rPr>
                                  <w:sz w:val="72"/>
                                  <w:szCs w:val="72"/>
                                </w:rPr>
                              </w:pPr>
                              <w:r w:rsidRPr="0095521C">
                                <w:rPr>
                                  <w:sz w:val="44"/>
                                  <w:szCs w:val="44"/>
                                </w:rPr>
                                <w:t>Central MN Health Care Preparedness Coalition</w:t>
                              </w:r>
                            </w:p>
                          </w:sdtContent>
                        </w:sdt>
                      </w:txbxContent>
                    </v:textbox>
                    <w10:wrap anchorx="page" anchory="page"/>
                  </v:rect>
                </w:pict>
              </mc:Fallback>
            </mc:AlternateContent>
          </w:r>
          <w:r w:rsidR="00B64237">
            <w:br w:type="page"/>
          </w:r>
        </w:p>
        <w:p w:rsidR="00367356" w:rsidP="00367356" w:rsidRDefault="00367356" w14:paraId="42D32072" w14:textId="77777777">
          <w:pPr>
            <w:jc w:val="center"/>
          </w:pPr>
        </w:p>
        <w:p w:rsidR="00367356" w:rsidP="00367356" w:rsidRDefault="00367356" w14:paraId="389088CF" w14:textId="77777777">
          <w:pPr>
            <w:jc w:val="center"/>
          </w:pPr>
        </w:p>
        <w:p w:rsidR="00367356" w:rsidP="00367356" w:rsidRDefault="00367356" w14:paraId="1BDD4D69" w14:textId="77777777">
          <w:pPr>
            <w:jc w:val="center"/>
          </w:pPr>
        </w:p>
        <w:p w:rsidR="00367356" w:rsidP="00367356" w:rsidRDefault="00367356" w14:paraId="13EF7151" w14:textId="77777777">
          <w:pPr>
            <w:jc w:val="center"/>
          </w:pPr>
        </w:p>
        <w:p w:rsidR="00367356" w:rsidP="00367356" w:rsidRDefault="00367356" w14:paraId="63DADE6E" w14:textId="77777777">
          <w:pPr>
            <w:jc w:val="center"/>
          </w:pPr>
        </w:p>
        <w:p w:rsidR="00367356" w:rsidP="00367356" w:rsidRDefault="00367356" w14:paraId="5E941007" w14:textId="77777777">
          <w:pPr>
            <w:jc w:val="center"/>
          </w:pPr>
        </w:p>
        <w:p w:rsidR="00367356" w:rsidP="00367356" w:rsidRDefault="00367356" w14:paraId="7137D639" w14:textId="77777777">
          <w:pPr>
            <w:jc w:val="center"/>
          </w:pPr>
        </w:p>
        <w:p w:rsidR="00367356" w:rsidP="00367356" w:rsidRDefault="00367356" w14:paraId="06224850" w14:textId="77777777">
          <w:pPr>
            <w:jc w:val="center"/>
          </w:pPr>
        </w:p>
        <w:p w:rsidR="00367356" w:rsidP="00367356" w:rsidRDefault="00367356" w14:paraId="6C3CE56C" w14:textId="77777777">
          <w:pPr>
            <w:jc w:val="center"/>
          </w:pPr>
        </w:p>
        <w:p w:rsidR="00367356" w:rsidP="00367356" w:rsidRDefault="00367356" w14:paraId="773A618F" w14:textId="77777777">
          <w:pPr>
            <w:jc w:val="center"/>
          </w:pPr>
        </w:p>
        <w:p w:rsidR="00367356" w:rsidP="00367356" w:rsidRDefault="00367356" w14:paraId="15BD9892" w14:textId="77777777">
          <w:pPr>
            <w:jc w:val="center"/>
          </w:pPr>
        </w:p>
        <w:p w:rsidR="00367356" w:rsidP="00367356" w:rsidRDefault="00367356" w14:paraId="2592E8FD" w14:textId="77777777">
          <w:pPr>
            <w:jc w:val="center"/>
          </w:pPr>
        </w:p>
        <w:p w:rsidR="00367356" w:rsidP="00DA5B0C" w:rsidRDefault="00367356" w14:paraId="1001047C" w14:textId="77777777">
          <w:pPr>
            <w:ind w:left="0"/>
            <w:jc w:val="center"/>
          </w:pPr>
          <w:r>
            <w:t>THIS PAGE INTENTIONALLY LEFT BLANK</w:t>
          </w:r>
        </w:p>
      </w:sdtContent>
    </w:sdt>
    <w:p w:rsidR="008764D8" w:rsidP="008764D8" w:rsidRDefault="008764D8" w14:paraId="1215C2F8" w14:textId="77777777">
      <w:pPr>
        <w:ind w:left="0"/>
      </w:pPr>
    </w:p>
    <w:p w:rsidR="000B1AE8" w:rsidP="008764D8" w:rsidRDefault="000B1AE8" w14:paraId="67E5673A" w14:textId="77777777">
      <w:pPr>
        <w:ind w:left="0"/>
      </w:pPr>
      <w:r>
        <w:br w:type="page"/>
      </w:r>
    </w:p>
    <w:sdt>
      <w:sdtPr>
        <w:rPr>
          <w:rFonts w:cstheme="minorBidi"/>
          <w:noProof/>
          <w:sz w:val="22"/>
          <w:szCs w:val="22"/>
        </w:rPr>
        <w:id w:val="1238388863"/>
        <w:docPartObj>
          <w:docPartGallery w:val="Table of Contents"/>
          <w:docPartUnique/>
        </w:docPartObj>
      </w:sdtPr>
      <w:sdtEndPr>
        <w:rPr>
          <w:rFonts w:cstheme="minorHAnsi"/>
          <w:bCs/>
          <w:i w:val="0"/>
          <w:iCs w:val="0"/>
          <w:noProof w:val="0"/>
          <w:sz w:val="20"/>
          <w:szCs w:val="20"/>
        </w:rPr>
      </w:sdtEndPr>
      <w:sdtContent>
        <w:p w:rsidR="0013379F" w:rsidRDefault="004D190D" w14:paraId="7B109C80" w14:textId="11AABE7A">
          <w:pPr>
            <w:pStyle w:val="TOC2"/>
            <w:tabs>
              <w:tab w:val="left" w:pos="720"/>
              <w:tab w:val="right" w:pos="9350"/>
            </w:tabs>
            <w:rPr>
              <w:rFonts w:eastAsiaTheme="minorEastAsia" w:cstheme="minorBidi"/>
              <w:i w:val="0"/>
              <w:iCs w:val="0"/>
              <w:noProof/>
              <w:sz w:val="22"/>
              <w:szCs w:val="22"/>
            </w:rPr>
          </w:pPr>
          <w:r>
            <w:fldChar w:fldCharType="begin"/>
          </w:r>
          <w:r>
            <w:instrText xml:space="preserve"> TOC \t "Heading 1,2,Heading 2,3,Heading 3,4,Heading 4,5,Header,1" </w:instrText>
          </w:r>
          <w:r>
            <w:fldChar w:fldCharType="separate"/>
          </w:r>
          <w:r w:rsidR="0013379F">
            <w:rPr>
              <w:noProof/>
            </w:rPr>
            <w:t>1.</w:t>
          </w:r>
          <w:r w:rsidR="0013379F">
            <w:rPr>
              <w:rFonts w:eastAsiaTheme="minorEastAsia" w:cstheme="minorBidi"/>
              <w:i w:val="0"/>
              <w:iCs w:val="0"/>
              <w:noProof/>
              <w:sz w:val="22"/>
              <w:szCs w:val="22"/>
            </w:rPr>
            <w:tab/>
          </w:r>
          <w:r w:rsidR="0013379F">
            <w:rPr>
              <w:noProof/>
            </w:rPr>
            <w:t>Introduction</w:t>
          </w:r>
          <w:r w:rsidR="0013379F">
            <w:rPr>
              <w:noProof/>
            </w:rPr>
            <w:tab/>
          </w:r>
          <w:r w:rsidR="0013379F">
            <w:rPr>
              <w:noProof/>
            </w:rPr>
            <w:fldChar w:fldCharType="begin"/>
          </w:r>
          <w:r w:rsidR="0013379F">
            <w:rPr>
              <w:noProof/>
            </w:rPr>
            <w:instrText xml:space="preserve"> PAGEREF _Toc103417361 \h </w:instrText>
          </w:r>
          <w:r w:rsidR="0013379F">
            <w:rPr>
              <w:noProof/>
            </w:rPr>
          </w:r>
          <w:r w:rsidR="0013379F">
            <w:rPr>
              <w:noProof/>
            </w:rPr>
            <w:fldChar w:fldCharType="separate"/>
          </w:r>
          <w:r w:rsidR="0013379F">
            <w:rPr>
              <w:noProof/>
            </w:rPr>
            <w:t>4</w:t>
          </w:r>
          <w:r w:rsidR="0013379F">
            <w:rPr>
              <w:noProof/>
            </w:rPr>
            <w:fldChar w:fldCharType="end"/>
          </w:r>
        </w:p>
        <w:p w:rsidR="0013379F" w:rsidRDefault="0013379F" w14:paraId="4750D53C" w14:textId="444AB4E6">
          <w:pPr>
            <w:pStyle w:val="TOC3"/>
            <w:tabs>
              <w:tab w:val="left" w:pos="960"/>
              <w:tab w:val="right" w:pos="9350"/>
            </w:tabs>
            <w:rPr>
              <w:rFonts w:eastAsiaTheme="minorEastAsia" w:cstheme="minorBidi"/>
              <w:noProof/>
              <w:sz w:val="22"/>
              <w:szCs w:val="22"/>
            </w:rPr>
          </w:pPr>
          <w:r>
            <w:rPr>
              <w:noProof/>
            </w:rPr>
            <w:t>1.1</w:t>
          </w:r>
          <w:r>
            <w:rPr>
              <w:rFonts w:eastAsiaTheme="minorEastAsia" w:cstheme="minorBidi"/>
              <w:noProof/>
              <w:sz w:val="22"/>
              <w:szCs w:val="22"/>
            </w:rPr>
            <w:tab/>
          </w:r>
          <w:r>
            <w:rPr>
              <w:noProof/>
            </w:rPr>
            <w:t>Purpose</w:t>
          </w:r>
          <w:r>
            <w:rPr>
              <w:noProof/>
            </w:rPr>
            <w:tab/>
          </w:r>
          <w:r>
            <w:rPr>
              <w:noProof/>
            </w:rPr>
            <w:fldChar w:fldCharType="begin"/>
          </w:r>
          <w:r>
            <w:rPr>
              <w:noProof/>
            </w:rPr>
            <w:instrText xml:space="preserve"> PAGEREF _Toc103417362 \h </w:instrText>
          </w:r>
          <w:r>
            <w:rPr>
              <w:noProof/>
            </w:rPr>
          </w:r>
          <w:r>
            <w:rPr>
              <w:noProof/>
            </w:rPr>
            <w:fldChar w:fldCharType="separate"/>
          </w:r>
          <w:r>
            <w:rPr>
              <w:noProof/>
            </w:rPr>
            <w:t>4</w:t>
          </w:r>
          <w:r>
            <w:rPr>
              <w:noProof/>
            </w:rPr>
            <w:fldChar w:fldCharType="end"/>
          </w:r>
        </w:p>
        <w:p w:rsidR="0013379F" w:rsidRDefault="0013379F" w14:paraId="031126A8" w14:textId="60898B58">
          <w:pPr>
            <w:pStyle w:val="TOC3"/>
            <w:tabs>
              <w:tab w:val="left" w:pos="1200"/>
              <w:tab w:val="right" w:pos="9350"/>
            </w:tabs>
            <w:rPr>
              <w:rFonts w:eastAsiaTheme="minorEastAsia" w:cstheme="minorBidi"/>
              <w:noProof/>
              <w:sz w:val="22"/>
              <w:szCs w:val="22"/>
            </w:rPr>
          </w:pPr>
          <w:r>
            <w:rPr>
              <w:noProof/>
            </w:rPr>
            <w:t xml:space="preserve">1.2 </w:t>
          </w:r>
          <w:r>
            <w:rPr>
              <w:rFonts w:eastAsiaTheme="minorEastAsia" w:cstheme="minorBidi"/>
              <w:noProof/>
              <w:sz w:val="22"/>
              <w:szCs w:val="22"/>
            </w:rPr>
            <w:tab/>
          </w:r>
          <w:r>
            <w:rPr>
              <w:noProof/>
            </w:rPr>
            <w:t>Scope</w:t>
          </w:r>
          <w:r>
            <w:rPr>
              <w:noProof/>
            </w:rPr>
            <w:tab/>
          </w:r>
          <w:r>
            <w:rPr>
              <w:noProof/>
            </w:rPr>
            <w:fldChar w:fldCharType="begin"/>
          </w:r>
          <w:r>
            <w:rPr>
              <w:noProof/>
            </w:rPr>
            <w:instrText xml:space="preserve"> PAGEREF _Toc103417363 \h </w:instrText>
          </w:r>
          <w:r>
            <w:rPr>
              <w:noProof/>
            </w:rPr>
          </w:r>
          <w:r>
            <w:rPr>
              <w:noProof/>
            </w:rPr>
            <w:fldChar w:fldCharType="separate"/>
          </w:r>
          <w:r>
            <w:rPr>
              <w:noProof/>
            </w:rPr>
            <w:t>4</w:t>
          </w:r>
          <w:r>
            <w:rPr>
              <w:noProof/>
            </w:rPr>
            <w:fldChar w:fldCharType="end"/>
          </w:r>
        </w:p>
        <w:p w:rsidR="0013379F" w:rsidRDefault="0013379F" w14:paraId="4404B5ED" w14:textId="0CC66961">
          <w:pPr>
            <w:pStyle w:val="TOC3"/>
            <w:tabs>
              <w:tab w:val="left" w:pos="960"/>
              <w:tab w:val="right" w:pos="9350"/>
            </w:tabs>
            <w:rPr>
              <w:rFonts w:eastAsiaTheme="minorEastAsia" w:cstheme="minorBidi"/>
              <w:noProof/>
              <w:sz w:val="22"/>
              <w:szCs w:val="22"/>
            </w:rPr>
          </w:pPr>
          <w:r>
            <w:rPr>
              <w:noProof/>
            </w:rPr>
            <w:t>1.3</w:t>
          </w:r>
          <w:r>
            <w:rPr>
              <w:rFonts w:eastAsiaTheme="minorEastAsia" w:cstheme="minorBidi"/>
              <w:noProof/>
              <w:sz w:val="22"/>
              <w:szCs w:val="22"/>
            </w:rPr>
            <w:tab/>
          </w:r>
          <w:r>
            <w:rPr>
              <w:noProof/>
            </w:rPr>
            <w:t>Situation and Assumptions</w:t>
          </w:r>
          <w:r>
            <w:rPr>
              <w:noProof/>
            </w:rPr>
            <w:tab/>
          </w:r>
          <w:r>
            <w:rPr>
              <w:noProof/>
            </w:rPr>
            <w:fldChar w:fldCharType="begin"/>
          </w:r>
          <w:r>
            <w:rPr>
              <w:noProof/>
            </w:rPr>
            <w:instrText xml:space="preserve"> PAGEREF _Toc103417364 \h </w:instrText>
          </w:r>
          <w:r>
            <w:rPr>
              <w:noProof/>
            </w:rPr>
          </w:r>
          <w:r>
            <w:rPr>
              <w:noProof/>
            </w:rPr>
            <w:fldChar w:fldCharType="separate"/>
          </w:r>
          <w:r>
            <w:rPr>
              <w:noProof/>
            </w:rPr>
            <w:t>5</w:t>
          </w:r>
          <w:r>
            <w:rPr>
              <w:noProof/>
            </w:rPr>
            <w:fldChar w:fldCharType="end"/>
          </w:r>
        </w:p>
        <w:p w:rsidR="0013379F" w:rsidRDefault="0013379F" w14:paraId="03C4161A" w14:textId="140C92A2">
          <w:pPr>
            <w:pStyle w:val="TOC3"/>
            <w:tabs>
              <w:tab w:val="left" w:pos="1200"/>
              <w:tab w:val="right" w:pos="9350"/>
            </w:tabs>
            <w:rPr>
              <w:rFonts w:eastAsiaTheme="minorEastAsia" w:cstheme="minorBidi"/>
              <w:noProof/>
              <w:sz w:val="22"/>
              <w:szCs w:val="22"/>
            </w:rPr>
          </w:pPr>
          <w:r>
            <w:rPr>
              <w:noProof/>
            </w:rPr>
            <w:t xml:space="preserve">1.4 </w:t>
          </w:r>
          <w:r>
            <w:rPr>
              <w:rFonts w:eastAsiaTheme="minorEastAsia" w:cstheme="minorBidi"/>
              <w:noProof/>
              <w:sz w:val="22"/>
              <w:szCs w:val="22"/>
            </w:rPr>
            <w:tab/>
          </w:r>
          <w:r>
            <w:rPr>
              <w:noProof/>
            </w:rPr>
            <w:t>Administrative Support</w:t>
          </w:r>
          <w:r>
            <w:rPr>
              <w:noProof/>
            </w:rPr>
            <w:tab/>
          </w:r>
          <w:r>
            <w:rPr>
              <w:noProof/>
            </w:rPr>
            <w:fldChar w:fldCharType="begin"/>
          </w:r>
          <w:r>
            <w:rPr>
              <w:noProof/>
            </w:rPr>
            <w:instrText xml:space="preserve"> PAGEREF _Toc103417365 \h </w:instrText>
          </w:r>
          <w:r>
            <w:rPr>
              <w:noProof/>
            </w:rPr>
          </w:r>
          <w:r>
            <w:rPr>
              <w:noProof/>
            </w:rPr>
            <w:fldChar w:fldCharType="separate"/>
          </w:r>
          <w:r>
            <w:rPr>
              <w:noProof/>
            </w:rPr>
            <w:t>5</w:t>
          </w:r>
          <w:r>
            <w:rPr>
              <w:noProof/>
            </w:rPr>
            <w:fldChar w:fldCharType="end"/>
          </w:r>
        </w:p>
        <w:p w:rsidR="0013379F" w:rsidRDefault="0013379F" w14:paraId="14909520" w14:textId="2083642E">
          <w:pPr>
            <w:pStyle w:val="TOC2"/>
            <w:tabs>
              <w:tab w:val="left" w:pos="720"/>
              <w:tab w:val="right" w:pos="9350"/>
            </w:tabs>
            <w:rPr>
              <w:rFonts w:eastAsiaTheme="minorEastAsia" w:cstheme="minorBidi"/>
              <w:i w:val="0"/>
              <w:iCs w:val="0"/>
              <w:noProof/>
              <w:sz w:val="22"/>
              <w:szCs w:val="22"/>
            </w:rPr>
          </w:pPr>
          <w:r>
            <w:rPr>
              <w:noProof/>
            </w:rPr>
            <w:t>2.</w:t>
          </w:r>
          <w:r>
            <w:rPr>
              <w:rFonts w:eastAsiaTheme="minorEastAsia" w:cstheme="minorBidi"/>
              <w:i w:val="0"/>
              <w:iCs w:val="0"/>
              <w:noProof/>
              <w:sz w:val="22"/>
              <w:szCs w:val="22"/>
            </w:rPr>
            <w:tab/>
          </w:r>
          <w:r>
            <w:rPr>
              <w:noProof/>
            </w:rPr>
            <w:t>Concept of Operations</w:t>
          </w:r>
          <w:r>
            <w:rPr>
              <w:noProof/>
            </w:rPr>
            <w:tab/>
          </w:r>
          <w:r>
            <w:rPr>
              <w:noProof/>
            </w:rPr>
            <w:fldChar w:fldCharType="begin"/>
          </w:r>
          <w:r>
            <w:rPr>
              <w:noProof/>
            </w:rPr>
            <w:instrText xml:space="preserve"> PAGEREF _Toc103417366 \h </w:instrText>
          </w:r>
          <w:r>
            <w:rPr>
              <w:noProof/>
            </w:rPr>
          </w:r>
          <w:r>
            <w:rPr>
              <w:noProof/>
            </w:rPr>
            <w:fldChar w:fldCharType="separate"/>
          </w:r>
          <w:r>
            <w:rPr>
              <w:noProof/>
            </w:rPr>
            <w:t>5</w:t>
          </w:r>
          <w:r>
            <w:rPr>
              <w:noProof/>
            </w:rPr>
            <w:fldChar w:fldCharType="end"/>
          </w:r>
        </w:p>
        <w:p w:rsidR="0013379F" w:rsidRDefault="0013379F" w14:paraId="09B5B084" w14:textId="0AE6AC50">
          <w:pPr>
            <w:pStyle w:val="TOC3"/>
            <w:tabs>
              <w:tab w:val="right" w:pos="9350"/>
            </w:tabs>
            <w:rPr>
              <w:rFonts w:eastAsiaTheme="minorEastAsia" w:cstheme="minorBidi"/>
              <w:noProof/>
              <w:sz w:val="22"/>
              <w:szCs w:val="22"/>
            </w:rPr>
          </w:pPr>
          <w:r>
            <w:rPr>
              <w:noProof/>
            </w:rPr>
            <w:t>2.1 Introduction</w:t>
          </w:r>
          <w:r>
            <w:rPr>
              <w:noProof/>
            </w:rPr>
            <w:tab/>
          </w:r>
          <w:r>
            <w:rPr>
              <w:noProof/>
            </w:rPr>
            <w:fldChar w:fldCharType="begin"/>
          </w:r>
          <w:r>
            <w:rPr>
              <w:noProof/>
            </w:rPr>
            <w:instrText xml:space="preserve"> PAGEREF _Toc103417367 \h </w:instrText>
          </w:r>
          <w:r>
            <w:rPr>
              <w:noProof/>
            </w:rPr>
          </w:r>
          <w:r>
            <w:rPr>
              <w:noProof/>
            </w:rPr>
            <w:fldChar w:fldCharType="separate"/>
          </w:r>
          <w:r>
            <w:rPr>
              <w:noProof/>
            </w:rPr>
            <w:t>6</w:t>
          </w:r>
          <w:r>
            <w:rPr>
              <w:noProof/>
            </w:rPr>
            <w:fldChar w:fldCharType="end"/>
          </w:r>
        </w:p>
        <w:p w:rsidR="0013379F" w:rsidRDefault="0013379F" w14:paraId="1A415ACC" w14:textId="1FBD6042">
          <w:pPr>
            <w:pStyle w:val="TOC3"/>
            <w:tabs>
              <w:tab w:val="right" w:pos="9350"/>
            </w:tabs>
            <w:rPr>
              <w:rFonts w:eastAsiaTheme="minorEastAsia" w:cstheme="minorBidi"/>
              <w:noProof/>
              <w:sz w:val="22"/>
              <w:szCs w:val="22"/>
            </w:rPr>
          </w:pPr>
          <w:r>
            <w:rPr>
              <w:noProof/>
            </w:rPr>
            <w:t>2.2 Role of the Coalition in Events</w:t>
          </w:r>
          <w:r>
            <w:rPr>
              <w:noProof/>
            </w:rPr>
            <w:tab/>
          </w:r>
          <w:r>
            <w:rPr>
              <w:noProof/>
            </w:rPr>
            <w:fldChar w:fldCharType="begin"/>
          </w:r>
          <w:r>
            <w:rPr>
              <w:noProof/>
            </w:rPr>
            <w:instrText xml:space="preserve"> PAGEREF _Toc103417368 \h </w:instrText>
          </w:r>
          <w:r>
            <w:rPr>
              <w:noProof/>
            </w:rPr>
          </w:r>
          <w:r>
            <w:rPr>
              <w:noProof/>
            </w:rPr>
            <w:fldChar w:fldCharType="separate"/>
          </w:r>
          <w:r>
            <w:rPr>
              <w:noProof/>
            </w:rPr>
            <w:t>6</w:t>
          </w:r>
          <w:r>
            <w:rPr>
              <w:noProof/>
            </w:rPr>
            <w:fldChar w:fldCharType="end"/>
          </w:r>
        </w:p>
        <w:p w:rsidR="0013379F" w:rsidRDefault="0013379F" w14:paraId="58450958" w14:textId="728F8310">
          <w:pPr>
            <w:pStyle w:val="TOC4"/>
            <w:tabs>
              <w:tab w:val="right" w:pos="9350"/>
            </w:tabs>
            <w:rPr>
              <w:rFonts w:eastAsiaTheme="minorEastAsia" w:cstheme="minorBidi"/>
              <w:noProof/>
              <w:sz w:val="22"/>
              <w:szCs w:val="22"/>
            </w:rPr>
          </w:pPr>
          <w:r>
            <w:rPr>
              <w:noProof/>
            </w:rPr>
            <w:t>2.2.1 Member Roles and Responsibilities</w:t>
          </w:r>
          <w:r>
            <w:rPr>
              <w:noProof/>
            </w:rPr>
            <w:tab/>
          </w:r>
          <w:r>
            <w:rPr>
              <w:noProof/>
            </w:rPr>
            <w:fldChar w:fldCharType="begin"/>
          </w:r>
          <w:r>
            <w:rPr>
              <w:noProof/>
            </w:rPr>
            <w:instrText xml:space="preserve"> PAGEREF _Toc103417369 \h </w:instrText>
          </w:r>
          <w:r>
            <w:rPr>
              <w:noProof/>
            </w:rPr>
          </w:r>
          <w:r>
            <w:rPr>
              <w:noProof/>
            </w:rPr>
            <w:fldChar w:fldCharType="separate"/>
          </w:r>
          <w:r>
            <w:rPr>
              <w:noProof/>
            </w:rPr>
            <w:t>6</w:t>
          </w:r>
          <w:r>
            <w:rPr>
              <w:noProof/>
            </w:rPr>
            <w:fldChar w:fldCharType="end"/>
          </w:r>
        </w:p>
        <w:p w:rsidR="0013379F" w:rsidRDefault="0013379F" w14:paraId="6B844883" w14:textId="2F93CC63">
          <w:pPr>
            <w:pStyle w:val="TOC5"/>
            <w:tabs>
              <w:tab w:val="right" w:pos="9350"/>
            </w:tabs>
            <w:rPr>
              <w:rFonts w:eastAsiaTheme="minorEastAsia" w:cstheme="minorBidi"/>
              <w:noProof/>
              <w:sz w:val="22"/>
              <w:szCs w:val="22"/>
            </w:rPr>
          </w:pPr>
          <w:r w:rsidRPr="0096531A">
            <w:rPr>
              <w:rFonts w:eastAsia="Times New Roman"/>
              <w:noProof/>
              <w:lang w:bidi="en-US"/>
            </w:rPr>
            <w:t>Emergency Medical Services</w:t>
          </w:r>
          <w:r>
            <w:rPr>
              <w:noProof/>
            </w:rPr>
            <w:tab/>
          </w:r>
          <w:r>
            <w:rPr>
              <w:noProof/>
            </w:rPr>
            <w:fldChar w:fldCharType="begin"/>
          </w:r>
          <w:r>
            <w:rPr>
              <w:noProof/>
            </w:rPr>
            <w:instrText xml:space="preserve"> PAGEREF _Toc103417370 \h </w:instrText>
          </w:r>
          <w:r>
            <w:rPr>
              <w:noProof/>
            </w:rPr>
          </w:r>
          <w:r>
            <w:rPr>
              <w:noProof/>
            </w:rPr>
            <w:fldChar w:fldCharType="separate"/>
          </w:r>
          <w:r>
            <w:rPr>
              <w:noProof/>
            </w:rPr>
            <w:t>7</w:t>
          </w:r>
          <w:r>
            <w:rPr>
              <w:noProof/>
            </w:rPr>
            <w:fldChar w:fldCharType="end"/>
          </w:r>
        </w:p>
        <w:p w:rsidR="0013379F" w:rsidRDefault="0013379F" w14:paraId="4CDEB7BC" w14:textId="678C9C12">
          <w:pPr>
            <w:pStyle w:val="TOC5"/>
            <w:tabs>
              <w:tab w:val="right" w:pos="9350"/>
            </w:tabs>
            <w:rPr>
              <w:rFonts w:eastAsiaTheme="minorEastAsia" w:cstheme="minorBidi"/>
              <w:noProof/>
              <w:sz w:val="22"/>
              <w:szCs w:val="22"/>
            </w:rPr>
          </w:pPr>
          <w:r w:rsidRPr="0096531A">
            <w:rPr>
              <w:rFonts w:eastAsia="Times New Roman"/>
              <w:noProof/>
              <w:lang w:bidi="en-US"/>
            </w:rPr>
            <w:t>Hospitals</w:t>
          </w:r>
          <w:r>
            <w:rPr>
              <w:noProof/>
            </w:rPr>
            <w:tab/>
          </w:r>
          <w:r>
            <w:rPr>
              <w:noProof/>
            </w:rPr>
            <w:fldChar w:fldCharType="begin"/>
          </w:r>
          <w:r>
            <w:rPr>
              <w:noProof/>
            </w:rPr>
            <w:instrText xml:space="preserve"> PAGEREF _Toc103417371 \h </w:instrText>
          </w:r>
          <w:r>
            <w:rPr>
              <w:noProof/>
            </w:rPr>
          </w:r>
          <w:r>
            <w:rPr>
              <w:noProof/>
            </w:rPr>
            <w:fldChar w:fldCharType="separate"/>
          </w:r>
          <w:r>
            <w:rPr>
              <w:noProof/>
            </w:rPr>
            <w:t>7</w:t>
          </w:r>
          <w:r>
            <w:rPr>
              <w:noProof/>
            </w:rPr>
            <w:fldChar w:fldCharType="end"/>
          </w:r>
        </w:p>
        <w:p w:rsidR="0013379F" w:rsidRDefault="0013379F" w14:paraId="173B81BD" w14:textId="2A7F3756">
          <w:pPr>
            <w:pStyle w:val="TOC5"/>
            <w:tabs>
              <w:tab w:val="right" w:pos="9350"/>
            </w:tabs>
            <w:rPr>
              <w:rFonts w:eastAsiaTheme="minorEastAsia" w:cstheme="minorBidi"/>
              <w:noProof/>
              <w:sz w:val="22"/>
              <w:szCs w:val="22"/>
            </w:rPr>
          </w:pPr>
          <w:r w:rsidRPr="0096531A">
            <w:rPr>
              <w:rFonts w:eastAsia="Times New Roman"/>
              <w:noProof/>
              <w:lang w:bidi="en-US"/>
            </w:rPr>
            <w:t>Public Health</w:t>
          </w:r>
          <w:r>
            <w:rPr>
              <w:noProof/>
            </w:rPr>
            <w:tab/>
          </w:r>
          <w:r>
            <w:rPr>
              <w:noProof/>
            </w:rPr>
            <w:fldChar w:fldCharType="begin"/>
          </w:r>
          <w:r>
            <w:rPr>
              <w:noProof/>
            </w:rPr>
            <w:instrText xml:space="preserve"> PAGEREF _Toc103417372 \h </w:instrText>
          </w:r>
          <w:r>
            <w:rPr>
              <w:noProof/>
            </w:rPr>
          </w:r>
          <w:r>
            <w:rPr>
              <w:noProof/>
            </w:rPr>
            <w:fldChar w:fldCharType="separate"/>
          </w:r>
          <w:r>
            <w:rPr>
              <w:noProof/>
            </w:rPr>
            <w:t>8</w:t>
          </w:r>
          <w:r>
            <w:rPr>
              <w:noProof/>
            </w:rPr>
            <w:fldChar w:fldCharType="end"/>
          </w:r>
        </w:p>
        <w:p w:rsidR="0013379F" w:rsidRDefault="0013379F" w14:paraId="60ECEC5A" w14:textId="716E9FEE">
          <w:pPr>
            <w:pStyle w:val="TOC5"/>
            <w:tabs>
              <w:tab w:val="right" w:pos="9350"/>
            </w:tabs>
            <w:rPr>
              <w:rFonts w:eastAsiaTheme="minorEastAsia" w:cstheme="minorBidi"/>
              <w:noProof/>
              <w:sz w:val="22"/>
              <w:szCs w:val="22"/>
            </w:rPr>
          </w:pPr>
          <w:r w:rsidRPr="0096531A">
            <w:rPr>
              <w:rFonts w:eastAsia="Times New Roman"/>
              <w:noProof/>
              <w:lang w:bidi="en-US"/>
            </w:rPr>
            <w:t>Emergency Management</w:t>
          </w:r>
          <w:r>
            <w:rPr>
              <w:noProof/>
            </w:rPr>
            <w:tab/>
          </w:r>
          <w:r>
            <w:rPr>
              <w:noProof/>
            </w:rPr>
            <w:fldChar w:fldCharType="begin"/>
          </w:r>
          <w:r>
            <w:rPr>
              <w:noProof/>
            </w:rPr>
            <w:instrText xml:space="preserve"> PAGEREF _Toc103417373 \h </w:instrText>
          </w:r>
          <w:r>
            <w:rPr>
              <w:noProof/>
            </w:rPr>
          </w:r>
          <w:r>
            <w:rPr>
              <w:noProof/>
            </w:rPr>
            <w:fldChar w:fldCharType="separate"/>
          </w:r>
          <w:r>
            <w:rPr>
              <w:noProof/>
            </w:rPr>
            <w:t>8</w:t>
          </w:r>
          <w:r>
            <w:rPr>
              <w:noProof/>
            </w:rPr>
            <w:fldChar w:fldCharType="end"/>
          </w:r>
        </w:p>
        <w:p w:rsidR="0013379F" w:rsidRDefault="0013379F" w14:paraId="7C34177A" w14:textId="7C7E0AE1">
          <w:pPr>
            <w:pStyle w:val="TOC5"/>
            <w:tabs>
              <w:tab w:val="right" w:pos="9350"/>
            </w:tabs>
            <w:rPr>
              <w:rFonts w:eastAsiaTheme="minorEastAsia" w:cstheme="minorBidi"/>
              <w:noProof/>
              <w:sz w:val="22"/>
              <w:szCs w:val="22"/>
            </w:rPr>
          </w:pPr>
          <w:r w:rsidRPr="0096531A">
            <w:rPr>
              <w:rFonts w:eastAsia="Times New Roman"/>
              <w:noProof/>
              <w:lang w:bidi="en-US"/>
            </w:rPr>
            <w:t>Other Health and Medical Coalition Members</w:t>
          </w:r>
          <w:r>
            <w:rPr>
              <w:noProof/>
            </w:rPr>
            <w:tab/>
          </w:r>
          <w:r>
            <w:rPr>
              <w:noProof/>
            </w:rPr>
            <w:fldChar w:fldCharType="begin"/>
          </w:r>
          <w:r>
            <w:rPr>
              <w:noProof/>
            </w:rPr>
            <w:instrText xml:space="preserve"> PAGEREF _Toc103417374 \h </w:instrText>
          </w:r>
          <w:r>
            <w:rPr>
              <w:noProof/>
            </w:rPr>
          </w:r>
          <w:r>
            <w:rPr>
              <w:noProof/>
            </w:rPr>
            <w:fldChar w:fldCharType="separate"/>
          </w:r>
          <w:r>
            <w:rPr>
              <w:noProof/>
            </w:rPr>
            <w:t>8</w:t>
          </w:r>
          <w:r>
            <w:rPr>
              <w:noProof/>
            </w:rPr>
            <w:fldChar w:fldCharType="end"/>
          </w:r>
        </w:p>
        <w:p w:rsidR="0013379F" w:rsidRDefault="0013379F" w14:paraId="75759AE7" w14:textId="5D3F93EE">
          <w:pPr>
            <w:pStyle w:val="TOC4"/>
            <w:tabs>
              <w:tab w:val="right" w:pos="9350"/>
            </w:tabs>
            <w:rPr>
              <w:rFonts w:eastAsiaTheme="minorEastAsia" w:cstheme="minorBidi"/>
              <w:noProof/>
              <w:sz w:val="22"/>
              <w:szCs w:val="22"/>
            </w:rPr>
          </w:pPr>
          <w:r>
            <w:rPr>
              <w:noProof/>
            </w:rPr>
            <w:t>2.2.2 Coalition Response Organizational Structure</w:t>
          </w:r>
          <w:r>
            <w:rPr>
              <w:noProof/>
            </w:rPr>
            <w:tab/>
          </w:r>
          <w:r>
            <w:rPr>
              <w:noProof/>
            </w:rPr>
            <w:fldChar w:fldCharType="begin"/>
          </w:r>
          <w:r>
            <w:rPr>
              <w:noProof/>
            </w:rPr>
            <w:instrText xml:space="preserve"> PAGEREF _Toc103417375 \h </w:instrText>
          </w:r>
          <w:r>
            <w:rPr>
              <w:noProof/>
            </w:rPr>
          </w:r>
          <w:r>
            <w:rPr>
              <w:noProof/>
            </w:rPr>
            <w:fldChar w:fldCharType="separate"/>
          </w:r>
          <w:r>
            <w:rPr>
              <w:noProof/>
            </w:rPr>
            <w:t>9</w:t>
          </w:r>
          <w:r>
            <w:rPr>
              <w:noProof/>
            </w:rPr>
            <w:fldChar w:fldCharType="end"/>
          </w:r>
        </w:p>
        <w:p w:rsidR="0013379F" w:rsidRDefault="0013379F" w14:paraId="3BC48C39" w14:textId="0C3CE44D">
          <w:pPr>
            <w:pStyle w:val="TOC5"/>
            <w:tabs>
              <w:tab w:val="right" w:pos="9350"/>
            </w:tabs>
            <w:rPr>
              <w:rFonts w:eastAsiaTheme="minorEastAsia" w:cstheme="minorBidi"/>
              <w:noProof/>
              <w:sz w:val="22"/>
              <w:szCs w:val="22"/>
            </w:rPr>
          </w:pPr>
          <w:r w:rsidRPr="0096531A">
            <w:rPr>
              <w:rFonts w:eastAsia="Calibri"/>
              <w:noProof/>
            </w:rPr>
            <w:t>Coalition Health Care Multi-Agency Coordination (HMAC) Group Response Assumptions</w:t>
          </w:r>
          <w:r>
            <w:rPr>
              <w:noProof/>
            </w:rPr>
            <w:tab/>
          </w:r>
          <w:r>
            <w:rPr>
              <w:noProof/>
            </w:rPr>
            <w:fldChar w:fldCharType="begin"/>
          </w:r>
          <w:r>
            <w:rPr>
              <w:noProof/>
            </w:rPr>
            <w:instrText xml:space="preserve"> PAGEREF _Toc103417376 \h </w:instrText>
          </w:r>
          <w:r>
            <w:rPr>
              <w:noProof/>
            </w:rPr>
          </w:r>
          <w:r>
            <w:rPr>
              <w:noProof/>
            </w:rPr>
            <w:fldChar w:fldCharType="separate"/>
          </w:r>
          <w:r>
            <w:rPr>
              <w:noProof/>
            </w:rPr>
            <w:t>10</w:t>
          </w:r>
          <w:r>
            <w:rPr>
              <w:noProof/>
            </w:rPr>
            <w:fldChar w:fldCharType="end"/>
          </w:r>
        </w:p>
        <w:p w:rsidR="0013379F" w:rsidRDefault="0013379F" w14:paraId="7E444DBB" w14:textId="0D90EBD7">
          <w:pPr>
            <w:pStyle w:val="TOC3"/>
            <w:tabs>
              <w:tab w:val="right" w:pos="9350"/>
            </w:tabs>
            <w:rPr>
              <w:rFonts w:eastAsiaTheme="minorEastAsia" w:cstheme="minorBidi"/>
              <w:noProof/>
              <w:sz w:val="22"/>
              <w:szCs w:val="22"/>
            </w:rPr>
          </w:pPr>
          <w:r>
            <w:rPr>
              <w:noProof/>
            </w:rPr>
            <w:t>2.3 Response Operations</w:t>
          </w:r>
          <w:r>
            <w:rPr>
              <w:noProof/>
            </w:rPr>
            <w:tab/>
          </w:r>
          <w:r>
            <w:rPr>
              <w:noProof/>
            </w:rPr>
            <w:fldChar w:fldCharType="begin"/>
          </w:r>
          <w:r>
            <w:rPr>
              <w:noProof/>
            </w:rPr>
            <w:instrText xml:space="preserve"> PAGEREF _Toc103417377 \h </w:instrText>
          </w:r>
          <w:r>
            <w:rPr>
              <w:noProof/>
            </w:rPr>
          </w:r>
          <w:r>
            <w:rPr>
              <w:noProof/>
            </w:rPr>
            <w:fldChar w:fldCharType="separate"/>
          </w:r>
          <w:r>
            <w:rPr>
              <w:noProof/>
            </w:rPr>
            <w:t>10</w:t>
          </w:r>
          <w:r>
            <w:rPr>
              <w:noProof/>
            </w:rPr>
            <w:fldChar w:fldCharType="end"/>
          </w:r>
        </w:p>
        <w:p w:rsidR="0013379F" w:rsidRDefault="0013379F" w14:paraId="1D66F5C6" w14:textId="15EB9F2E">
          <w:pPr>
            <w:pStyle w:val="TOC4"/>
            <w:tabs>
              <w:tab w:val="right" w:pos="9350"/>
            </w:tabs>
            <w:rPr>
              <w:rFonts w:eastAsiaTheme="minorEastAsia" w:cstheme="minorBidi"/>
              <w:noProof/>
              <w:sz w:val="22"/>
              <w:szCs w:val="22"/>
            </w:rPr>
          </w:pPr>
          <w:r>
            <w:rPr>
              <w:noProof/>
            </w:rPr>
            <w:t>2.3.1 Stages of Incident Response</w:t>
          </w:r>
          <w:r>
            <w:rPr>
              <w:noProof/>
            </w:rPr>
            <w:tab/>
          </w:r>
          <w:r>
            <w:rPr>
              <w:noProof/>
            </w:rPr>
            <w:fldChar w:fldCharType="begin"/>
          </w:r>
          <w:r>
            <w:rPr>
              <w:noProof/>
            </w:rPr>
            <w:instrText xml:space="preserve"> PAGEREF _Toc103417378 \h </w:instrText>
          </w:r>
          <w:r>
            <w:rPr>
              <w:noProof/>
            </w:rPr>
          </w:r>
          <w:r>
            <w:rPr>
              <w:noProof/>
            </w:rPr>
            <w:fldChar w:fldCharType="separate"/>
          </w:r>
          <w:r>
            <w:rPr>
              <w:noProof/>
            </w:rPr>
            <w:t>10</w:t>
          </w:r>
          <w:r>
            <w:rPr>
              <w:noProof/>
            </w:rPr>
            <w:fldChar w:fldCharType="end"/>
          </w:r>
        </w:p>
        <w:p w:rsidR="0013379F" w:rsidRDefault="0013379F" w14:paraId="11EF63B5" w14:textId="55160414">
          <w:pPr>
            <w:pStyle w:val="TOC5"/>
            <w:tabs>
              <w:tab w:val="right" w:pos="9350"/>
            </w:tabs>
            <w:rPr>
              <w:rFonts w:eastAsiaTheme="minorEastAsia" w:cstheme="minorBidi"/>
              <w:noProof/>
              <w:sz w:val="22"/>
              <w:szCs w:val="22"/>
            </w:rPr>
          </w:pPr>
          <w:r w:rsidRPr="0096531A">
            <w:rPr>
              <w:rFonts w:eastAsia="Calibri"/>
              <w:noProof/>
            </w:rPr>
            <w:t>Advisory, Alert, or Activation Status</w:t>
          </w:r>
          <w:r>
            <w:rPr>
              <w:noProof/>
            </w:rPr>
            <w:tab/>
          </w:r>
          <w:r>
            <w:rPr>
              <w:noProof/>
            </w:rPr>
            <w:fldChar w:fldCharType="begin"/>
          </w:r>
          <w:r>
            <w:rPr>
              <w:noProof/>
            </w:rPr>
            <w:instrText xml:space="preserve"> PAGEREF _Toc103417379 \h </w:instrText>
          </w:r>
          <w:r>
            <w:rPr>
              <w:noProof/>
            </w:rPr>
          </w:r>
          <w:r>
            <w:rPr>
              <w:noProof/>
            </w:rPr>
            <w:fldChar w:fldCharType="separate"/>
          </w:r>
          <w:r>
            <w:rPr>
              <w:noProof/>
            </w:rPr>
            <w:t>10</w:t>
          </w:r>
          <w:r>
            <w:rPr>
              <w:noProof/>
            </w:rPr>
            <w:fldChar w:fldCharType="end"/>
          </w:r>
        </w:p>
        <w:p w:rsidR="0013379F" w:rsidRDefault="0013379F" w14:paraId="27D0C1C4" w14:textId="5507119E">
          <w:pPr>
            <w:pStyle w:val="TOC5"/>
            <w:tabs>
              <w:tab w:val="right" w:pos="9350"/>
            </w:tabs>
            <w:rPr>
              <w:rFonts w:eastAsiaTheme="minorEastAsia" w:cstheme="minorBidi"/>
              <w:noProof/>
              <w:sz w:val="22"/>
              <w:szCs w:val="22"/>
            </w:rPr>
          </w:pPr>
          <w:r>
            <w:rPr>
              <w:noProof/>
            </w:rPr>
            <w:t>2.3.1.1 Incident Recognition</w:t>
          </w:r>
          <w:r>
            <w:rPr>
              <w:noProof/>
            </w:rPr>
            <w:tab/>
          </w:r>
          <w:r>
            <w:rPr>
              <w:noProof/>
            </w:rPr>
            <w:fldChar w:fldCharType="begin"/>
          </w:r>
          <w:r>
            <w:rPr>
              <w:noProof/>
            </w:rPr>
            <w:instrText xml:space="preserve"> PAGEREF _Toc103417380 \h </w:instrText>
          </w:r>
          <w:r>
            <w:rPr>
              <w:noProof/>
            </w:rPr>
          </w:r>
          <w:r>
            <w:rPr>
              <w:noProof/>
            </w:rPr>
            <w:fldChar w:fldCharType="separate"/>
          </w:r>
          <w:r>
            <w:rPr>
              <w:noProof/>
            </w:rPr>
            <w:t>11</w:t>
          </w:r>
          <w:r>
            <w:rPr>
              <w:noProof/>
            </w:rPr>
            <w:fldChar w:fldCharType="end"/>
          </w:r>
        </w:p>
        <w:p w:rsidR="0013379F" w:rsidRDefault="0013379F" w14:paraId="0EA639B9" w14:textId="6404DE62">
          <w:pPr>
            <w:pStyle w:val="TOC5"/>
            <w:tabs>
              <w:tab w:val="right" w:pos="9350"/>
            </w:tabs>
            <w:rPr>
              <w:rFonts w:eastAsiaTheme="minorEastAsia" w:cstheme="minorBidi"/>
              <w:noProof/>
              <w:sz w:val="22"/>
              <w:szCs w:val="22"/>
            </w:rPr>
          </w:pPr>
          <w:r>
            <w:rPr>
              <w:noProof/>
            </w:rPr>
            <w:t>2.3.1.2 Activation</w:t>
          </w:r>
          <w:r>
            <w:rPr>
              <w:noProof/>
            </w:rPr>
            <w:tab/>
          </w:r>
          <w:r>
            <w:rPr>
              <w:noProof/>
            </w:rPr>
            <w:fldChar w:fldCharType="begin"/>
          </w:r>
          <w:r>
            <w:rPr>
              <w:noProof/>
            </w:rPr>
            <w:instrText xml:space="preserve"> PAGEREF _Toc103417381 \h </w:instrText>
          </w:r>
          <w:r>
            <w:rPr>
              <w:noProof/>
            </w:rPr>
          </w:r>
          <w:r>
            <w:rPr>
              <w:noProof/>
            </w:rPr>
            <w:fldChar w:fldCharType="separate"/>
          </w:r>
          <w:r>
            <w:rPr>
              <w:noProof/>
            </w:rPr>
            <w:t>11</w:t>
          </w:r>
          <w:r>
            <w:rPr>
              <w:noProof/>
            </w:rPr>
            <w:fldChar w:fldCharType="end"/>
          </w:r>
        </w:p>
        <w:p w:rsidR="0013379F" w:rsidRDefault="0013379F" w14:paraId="1A01268E" w14:textId="11F82B9B">
          <w:pPr>
            <w:pStyle w:val="TOC5"/>
            <w:tabs>
              <w:tab w:val="right" w:pos="9350"/>
            </w:tabs>
            <w:rPr>
              <w:rFonts w:eastAsiaTheme="minorEastAsia" w:cstheme="minorBidi"/>
              <w:noProof/>
              <w:sz w:val="22"/>
              <w:szCs w:val="22"/>
            </w:rPr>
          </w:pPr>
          <w:r>
            <w:rPr>
              <w:noProof/>
            </w:rPr>
            <w:t>2.3.1.3 Notifications</w:t>
          </w:r>
          <w:r>
            <w:rPr>
              <w:noProof/>
            </w:rPr>
            <w:tab/>
          </w:r>
          <w:r>
            <w:rPr>
              <w:noProof/>
            </w:rPr>
            <w:fldChar w:fldCharType="begin"/>
          </w:r>
          <w:r>
            <w:rPr>
              <w:noProof/>
            </w:rPr>
            <w:instrText xml:space="preserve"> PAGEREF _Toc103417382 \h </w:instrText>
          </w:r>
          <w:r>
            <w:rPr>
              <w:noProof/>
            </w:rPr>
          </w:r>
          <w:r>
            <w:rPr>
              <w:noProof/>
            </w:rPr>
            <w:fldChar w:fldCharType="separate"/>
          </w:r>
          <w:r>
            <w:rPr>
              <w:noProof/>
            </w:rPr>
            <w:t>11</w:t>
          </w:r>
          <w:r>
            <w:rPr>
              <w:noProof/>
            </w:rPr>
            <w:fldChar w:fldCharType="end"/>
          </w:r>
        </w:p>
        <w:p w:rsidR="0013379F" w:rsidRDefault="0013379F" w14:paraId="3930DFD7" w14:textId="0C9250B9">
          <w:pPr>
            <w:pStyle w:val="TOC5"/>
            <w:tabs>
              <w:tab w:val="right" w:pos="9350"/>
            </w:tabs>
            <w:rPr>
              <w:rFonts w:eastAsiaTheme="minorEastAsia" w:cstheme="minorBidi"/>
              <w:noProof/>
              <w:sz w:val="22"/>
              <w:szCs w:val="22"/>
            </w:rPr>
          </w:pPr>
          <w:r>
            <w:rPr>
              <w:noProof/>
            </w:rPr>
            <w:t>2.3.1.4 Mobilization</w:t>
          </w:r>
          <w:r>
            <w:rPr>
              <w:noProof/>
            </w:rPr>
            <w:tab/>
          </w:r>
          <w:r>
            <w:rPr>
              <w:noProof/>
            </w:rPr>
            <w:fldChar w:fldCharType="begin"/>
          </w:r>
          <w:r>
            <w:rPr>
              <w:noProof/>
            </w:rPr>
            <w:instrText xml:space="preserve"> PAGEREF _Toc103417383 \h </w:instrText>
          </w:r>
          <w:r>
            <w:rPr>
              <w:noProof/>
            </w:rPr>
          </w:r>
          <w:r>
            <w:rPr>
              <w:noProof/>
            </w:rPr>
            <w:fldChar w:fldCharType="separate"/>
          </w:r>
          <w:r>
            <w:rPr>
              <w:noProof/>
            </w:rPr>
            <w:t>12</w:t>
          </w:r>
          <w:r>
            <w:rPr>
              <w:noProof/>
            </w:rPr>
            <w:fldChar w:fldCharType="end"/>
          </w:r>
        </w:p>
        <w:p w:rsidR="0013379F" w:rsidRDefault="0013379F" w14:paraId="2308152C" w14:textId="238C28D1">
          <w:pPr>
            <w:pStyle w:val="TOC5"/>
            <w:tabs>
              <w:tab w:val="left" w:pos="1920"/>
              <w:tab w:val="right" w:pos="9350"/>
            </w:tabs>
            <w:rPr>
              <w:rFonts w:eastAsiaTheme="minorEastAsia" w:cstheme="minorBidi"/>
              <w:noProof/>
              <w:sz w:val="22"/>
              <w:szCs w:val="22"/>
            </w:rPr>
          </w:pPr>
          <w:r w:rsidRPr="0096531A">
            <w:rPr>
              <w:bCs/>
              <w:noProof/>
            </w:rPr>
            <w:t>2.3.1.5</w:t>
          </w:r>
          <w:r>
            <w:rPr>
              <w:rFonts w:eastAsiaTheme="minorEastAsia" w:cstheme="minorBidi"/>
              <w:noProof/>
              <w:sz w:val="22"/>
              <w:szCs w:val="22"/>
            </w:rPr>
            <w:tab/>
          </w:r>
          <w:r>
            <w:rPr>
              <w:noProof/>
            </w:rPr>
            <w:t>Incident Operations</w:t>
          </w:r>
          <w:r>
            <w:rPr>
              <w:noProof/>
            </w:rPr>
            <w:tab/>
          </w:r>
          <w:r>
            <w:rPr>
              <w:noProof/>
            </w:rPr>
            <w:fldChar w:fldCharType="begin"/>
          </w:r>
          <w:r>
            <w:rPr>
              <w:noProof/>
            </w:rPr>
            <w:instrText xml:space="preserve"> PAGEREF _Toc103417384 \h </w:instrText>
          </w:r>
          <w:r>
            <w:rPr>
              <w:noProof/>
            </w:rPr>
          </w:r>
          <w:r>
            <w:rPr>
              <w:noProof/>
            </w:rPr>
            <w:fldChar w:fldCharType="separate"/>
          </w:r>
          <w:r>
            <w:rPr>
              <w:noProof/>
            </w:rPr>
            <w:t>12</w:t>
          </w:r>
          <w:r>
            <w:rPr>
              <w:noProof/>
            </w:rPr>
            <w:fldChar w:fldCharType="end"/>
          </w:r>
        </w:p>
        <w:p w:rsidR="0013379F" w:rsidRDefault="0013379F" w14:paraId="0820F934" w14:textId="74236A72">
          <w:pPr>
            <w:pStyle w:val="TOC5"/>
            <w:tabs>
              <w:tab w:val="right" w:pos="9350"/>
            </w:tabs>
            <w:rPr>
              <w:rFonts w:eastAsiaTheme="minorEastAsia" w:cstheme="minorBidi"/>
              <w:noProof/>
              <w:sz w:val="22"/>
              <w:szCs w:val="22"/>
            </w:rPr>
          </w:pPr>
          <w:r>
            <w:rPr>
              <w:noProof/>
            </w:rPr>
            <w:t>2.3.1.6 Demobilization</w:t>
          </w:r>
          <w:r>
            <w:rPr>
              <w:noProof/>
            </w:rPr>
            <w:tab/>
          </w:r>
          <w:r>
            <w:rPr>
              <w:noProof/>
            </w:rPr>
            <w:fldChar w:fldCharType="begin"/>
          </w:r>
          <w:r>
            <w:rPr>
              <w:noProof/>
            </w:rPr>
            <w:instrText xml:space="preserve"> PAGEREF _Toc103417385 \h </w:instrText>
          </w:r>
          <w:r>
            <w:rPr>
              <w:noProof/>
            </w:rPr>
          </w:r>
          <w:r>
            <w:rPr>
              <w:noProof/>
            </w:rPr>
            <w:fldChar w:fldCharType="separate"/>
          </w:r>
          <w:r>
            <w:rPr>
              <w:noProof/>
            </w:rPr>
            <w:t>16</w:t>
          </w:r>
          <w:r>
            <w:rPr>
              <w:noProof/>
            </w:rPr>
            <w:fldChar w:fldCharType="end"/>
          </w:r>
        </w:p>
        <w:p w:rsidR="0013379F" w:rsidRDefault="0013379F" w14:paraId="7404E68D" w14:textId="4B76004F">
          <w:pPr>
            <w:pStyle w:val="TOC5"/>
            <w:tabs>
              <w:tab w:val="right" w:pos="9350"/>
            </w:tabs>
            <w:rPr>
              <w:rFonts w:eastAsiaTheme="minorEastAsia" w:cstheme="minorBidi"/>
              <w:noProof/>
              <w:sz w:val="22"/>
              <w:szCs w:val="22"/>
            </w:rPr>
          </w:pPr>
          <w:r>
            <w:rPr>
              <w:noProof/>
            </w:rPr>
            <w:t>2.3.1.7 Recover/Return to Pre-disaster State</w:t>
          </w:r>
          <w:r>
            <w:rPr>
              <w:noProof/>
            </w:rPr>
            <w:tab/>
          </w:r>
          <w:r>
            <w:rPr>
              <w:noProof/>
            </w:rPr>
            <w:fldChar w:fldCharType="begin"/>
          </w:r>
          <w:r>
            <w:rPr>
              <w:noProof/>
            </w:rPr>
            <w:instrText xml:space="preserve"> PAGEREF _Toc103417386 \h </w:instrText>
          </w:r>
          <w:r>
            <w:rPr>
              <w:noProof/>
            </w:rPr>
          </w:r>
          <w:r>
            <w:rPr>
              <w:noProof/>
            </w:rPr>
            <w:fldChar w:fldCharType="separate"/>
          </w:r>
          <w:r>
            <w:rPr>
              <w:noProof/>
            </w:rPr>
            <w:t>16</w:t>
          </w:r>
          <w:r>
            <w:rPr>
              <w:noProof/>
            </w:rPr>
            <w:fldChar w:fldCharType="end"/>
          </w:r>
        </w:p>
        <w:p w:rsidR="0013379F" w:rsidRDefault="0013379F" w14:paraId="7B0DA4EF" w14:textId="7DFB1223">
          <w:pPr>
            <w:pStyle w:val="TOC3"/>
            <w:tabs>
              <w:tab w:val="right" w:pos="9350"/>
            </w:tabs>
            <w:rPr>
              <w:rFonts w:eastAsiaTheme="minorEastAsia" w:cstheme="minorBidi"/>
              <w:noProof/>
              <w:sz w:val="22"/>
              <w:szCs w:val="22"/>
            </w:rPr>
          </w:pPr>
          <w:r>
            <w:rPr>
              <w:noProof/>
            </w:rPr>
            <w:t>2.4 Continuity of Operations</w:t>
          </w:r>
          <w:r>
            <w:rPr>
              <w:noProof/>
            </w:rPr>
            <w:tab/>
          </w:r>
          <w:r>
            <w:rPr>
              <w:noProof/>
            </w:rPr>
            <w:fldChar w:fldCharType="begin"/>
          </w:r>
          <w:r>
            <w:rPr>
              <w:noProof/>
            </w:rPr>
            <w:instrText xml:space="preserve"> PAGEREF _Toc103417387 \h </w:instrText>
          </w:r>
          <w:r>
            <w:rPr>
              <w:noProof/>
            </w:rPr>
          </w:r>
          <w:r>
            <w:rPr>
              <w:noProof/>
            </w:rPr>
            <w:fldChar w:fldCharType="separate"/>
          </w:r>
          <w:r>
            <w:rPr>
              <w:noProof/>
            </w:rPr>
            <w:t>17</w:t>
          </w:r>
          <w:r>
            <w:rPr>
              <w:noProof/>
            </w:rPr>
            <w:fldChar w:fldCharType="end"/>
          </w:r>
        </w:p>
        <w:p w:rsidR="0013379F" w:rsidRDefault="0013379F" w14:paraId="557D4C73" w14:textId="03B98BA4">
          <w:pPr>
            <w:pStyle w:val="TOC4"/>
            <w:tabs>
              <w:tab w:val="right" w:pos="9350"/>
            </w:tabs>
            <w:rPr>
              <w:rFonts w:eastAsiaTheme="minorEastAsia" w:cstheme="minorBidi"/>
              <w:noProof/>
              <w:sz w:val="22"/>
              <w:szCs w:val="22"/>
            </w:rPr>
          </w:pPr>
          <w:r>
            <w:rPr>
              <w:noProof/>
            </w:rPr>
            <w:t>Redundant communications</w:t>
          </w:r>
          <w:r>
            <w:rPr>
              <w:noProof/>
            </w:rPr>
            <w:tab/>
          </w:r>
          <w:r>
            <w:rPr>
              <w:noProof/>
            </w:rPr>
            <w:fldChar w:fldCharType="begin"/>
          </w:r>
          <w:r>
            <w:rPr>
              <w:noProof/>
            </w:rPr>
            <w:instrText xml:space="preserve"> PAGEREF _Toc103417388 \h </w:instrText>
          </w:r>
          <w:r>
            <w:rPr>
              <w:noProof/>
            </w:rPr>
          </w:r>
          <w:r>
            <w:rPr>
              <w:noProof/>
            </w:rPr>
            <w:fldChar w:fldCharType="separate"/>
          </w:r>
          <w:r>
            <w:rPr>
              <w:noProof/>
            </w:rPr>
            <w:t>17</w:t>
          </w:r>
          <w:r>
            <w:rPr>
              <w:noProof/>
            </w:rPr>
            <w:fldChar w:fldCharType="end"/>
          </w:r>
        </w:p>
        <w:p w:rsidR="0013379F" w:rsidRDefault="0013379F" w14:paraId="42EAB9B5" w14:textId="6BAC1BB6">
          <w:pPr>
            <w:pStyle w:val="TOC4"/>
            <w:tabs>
              <w:tab w:val="right" w:pos="9350"/>
            </w:tabs>
            <w:rPr>
              <w:rFonts w:eastAsiaTheme="minorEastAsia" w:cstheme="minorBidi"/>
              <w:noProof/>
              <w:sz w:val="22"/>
              <w:szCs w:val="22"/>
            </w:rPr>
          </w:pPr>
          <w:r>
            <w:rPr>
              <w:noProof/>
            </w:rPr>
            <w:t>Coalition to coalition relationships</w:t>
          </w:r>
          <w:r>
            <w:rPr>
              <w:noProof/>
            </w:rPr>
            <w:tab/>
          </w:r>
          <w:r>
            <w:rPr>
              <w:noProof/>
            </w:rPr>
            <w:fldChar w:fldCharType="begin"/>
          </w:r>
          <w:r>
            <w:rPr>
              <w:noProof/>
            </w:rPr>
            <w:instrText xml:space="preserve"> PAGEREF _Toc103417389 \h </w:instrText>
          </w:r>
          <w:r>
            <w:rPr>
              <w:noProof/>
            </w:rPr>
          </w:r>
          <w:r>
            <w:rPr>
              <w:noProof/>
            </w:rPr>
            <w:fldChar w:fldCharType="separate"/>
          </w:r>
          <w:r>
            <w:rPr>
              <w:noProof/>
            </w:rPr>
            <w:t>17</w:t>
          </w:r>
          <w:r>
            <w:rPr>
              <w:noProof/>
            </w:rPr>
            <w:fldChar w:fldCharType="end"/>
          </w:r>
        </w:p>
        <w:p w:rsidR="0013379F" w:rsidRDefault="0013379F" w14:paraId="41E33E1A" w14:textId="01A2B12A">
          <w:pPr>
            <w:pStyle w:val="TOC4"/>
            <w:tabs>
              <w:tab w:val="right" w:pos="9350"/>
            </w:tabs>
            <w:rPr>
              <w:rFonts w:eastAsiaTheme="minorEastAsia" w:cstheme="minorBidi"/>
              <w:noProof/>
              <w:sz w:val="22"/>
              <w:szCs w:val="22"/>
            </w:rPr>
          </w:pPr>
          <w:r>
            <w:rPr>
              <w:noProof/>
            </w:rPr>
            <w:t>Alignment between coalition and individual facility level plans</w:t>
          </w:r>
          <w:r>
            <w:rPr>
              <w:noProof/>
            </w:rPr>
            <w:tab/>
          </w:r>
          <w:r>
            <w:rPr>
              <w:noProof/>
            </w:rPr>
            <w:fldChar w:fldCharType="begin"/>
          </w:r>
          <w:r>
            <w:rPr>
              <w:noProof/>
            </w:rPr>
            <w:instrText xml:space="preserve"> PAGEREF _Toc103417390 \h </w:instrText>
          </w:r>
          <w:r>
            <w:rPr>
              <w:noProof/>
            </w:rPr>
          </w:r>
          <w:r>
            <w:rPr>
              <w:noProof/>
            </w:rPr>
            <w:fldChar w:fldCharType="separate"/>
          </w:r>
          <w:r>
            <w:rPr>
              <w:noProof/>
            </w:rPr>
            <w:t>18</w:t>
          </w:r>
          <w:r>
            <w:rPr>
              <w:noProof/>
            </w:rPr>
            <w:fldChar w:fldCharType="end"/>
          </w:r>
        </w:p>
        <w:p w:rsidR="0013379F" w:rsidRDefault="0013379F" w14:paraId="45D2541F" w14:textId="072D27CA">
          <w:pPr>
            <w:pStyle w:val="TOC2"/>
            <w:tabs>
              <w:tab w:val="left" w:pos="720"/>
              <w:tab w:val="right" w:pos="9350"/>
            </w:tabs>
            <w:rPr>
              <w:rFonts w:eastAsiaTheme="minorEastAsia" w:cstheme="minorBidi"/>
              <w:i w:val="0"/>
              <w:iCs w:val="0"/>
              <w:noProof/>
              <w:sz w:val="22"/>
              <w:szCs w:val="22"/>
            </w:rPr>
          </w:pPr>
          <w:r>
            <w:rPr>
              <w:noProof/>
            </w:rPr>
            <w:t>3.</w:t>
          </w:r>
          <w:r>
            <w:rPr>
              <w:rFonts w:eastAsiaTheme="minorEastAsia" w:cstheme="minorBidi"/>
              <w:i w:val="0"/>
              <w:iCs w:val="0"/>
              <w:noProof/>
              <w:sz w:val="22"/>
              <w:szCs w:val="22"/>
            </w:rPr>
            <w:tab/>
          </w:r>
          <w:r>
            <w:rPr>
              <w:noProof/>
            </w:rPr>
            <w:t>Appendices/Links</w:t>
          </w:r>
          <w:r>
            <w:rPr>
              <w:noProof/>
            </w:rPr>
            <w:tab/>
          </w:r>
          <w:r>
            <w:rPr>
              <w:noProof/>
            </w:rPr>
            <w:fldChar w:fldCharType="begin"/>
          </w:r>
          <w:r>
            <w:rPr>
              <w:noProof/>
            </w:rPr>
            <w:instrText xml:space="preserve"> PAGEREF _Toc103417391 \h </w:instrText>
          </w:r>
          <w:r>
            <w:rPr>
              <w:noProof/>
            </w:rPr>
          </w:r>
          <w:r>
            <w:rPr>
              <w:noProof/>
            </w:rPr>
            <w:fldChar w:fldCharType="separate"/>
          </w:r>
          <w:r>
            <w:rPr>
              <w:noProof/>
            </w:rPr>
            <w:t>18</w:t>
          </w:r>
          <w:r>
            <w:rPr>
              <w:noProof/>
            </w:rPr>
            <w:fldChar w:fldCharType="end"/>
          </w:r>
        </w:p>
        <w:p w:rsidR="0013379F" w:rsidRDefault="0013379F" w14:paraId="30F1F996" w14:textId="7996D17B">
          <w:pPr>
            <w:pStyle w:val="TOC4"/>
            <w:tabs>
              <w:tab w:val="right" w:pos="9350"/>
            </w:tabs>
            <w:rPr>
              <w:rFonts w:eastAsiaTheme="minorEastAsia" w:cstheme="minorBidi"/>
              <w:noProof/>
              <w:sz w:val="22"/>
              <w:szCs w:val="22"/>
            </w:rPr>
          </w:pPr>
          <w:r>
            <w:rPr>
              <w:noProof/>
            </w:rPr>
            <w:t>3.1 Contact information</w:t>
          </w:r>
          <w:r>
            <w:rPr>
              <w:noProof/>
            </w:rPr>
            <w:tab/>
          </w:r>
          <w:r>
            <w:rPr>
              <w:noProof/>
            </w:rPr>
            <w:fldChar w:fldCharType="begin"/>
          </w:r>
          <w:r>
            <w:rPr>
              <w:noProof/>
            </w:rPr>
            <w:instrText xml:space="preserve"> PAGEREF _Toc103417392 \h </w:instrText>
          </w:r>
          <w:r>
            <w:rPr>
              <w:noProof/>
            </w:rPr>
          </w:r>
          <w:r>
            <w:rPr>
              <w:noProof/>
            </w:rPr>
            <w:fldChar w:fldCharType="separate"/>
          </w:r>
          <w:r>
            <w:rPr>
              <w:noProof/>
            </w:rPr>
            <w:t>18</w:t>
          </w:r>
          <w:r>
            <w:rPr>
              <w:noProof/>
            </w:rPr>
            <w:fldChar w:fldCharType="end"/>
          </w:r>
        </w:p>
        <w:p w:rsidR="0013379F" w:rsidRDefault="0013379F" w14:paraId="4E00BE8A" w14:textId="659DEA2F">
          <w:pPr>
            <w:pStyle w:val="TOC4"/>
            <w:tabs>
              <w:tab w:val="right" w:pos="9350"/>
            </w:tabs>
            <w:rPr>
              <w:rFonts w:eastAsiaTheme="minorEastAsia" w:cstheme="minorBidi"/>
              <w:noProof/>
              <w:sz w:val="22"/>
              <w:szCs w:val="22"/>
            </w:rPr>
          </w:pPr>
          <w:r>
            <w:rPr>
              <w:noProof/>
            </w:rPr>
            <w:t>3.2 Hazard Vulnerability Analysis</w:t>
          </w:r>
          <w:r>
            <w:rPr>
              <w:noProof/>
            </w:rPr>
            <w:tab/>
          </w:r>
          <w:r>
            <w:rPr>
              <w:noProof/>
            </w:rPr>
            <w:fldChar w:fldCharType="begin"/>
          </w:r>
          <w:r>
            <w:rPr>
              <w:noProof/>
            </w:rPr>
            <w:instrText xml:space="preserve"> PAGEREF _Toc103417393 \h </w:instrText>
          </w:r>
          <w:r>
            <w:rPr>
              <w:noProof/>
            </w:rPr>
          </w:r>
          <w:r>
            <w:rPr>
              <w:noProof/>
            </w:rPr>
            <w:fldChar w:fldCharType="separate"/>
          </w:r>
          <w:r>
            <w:rPr>
              <w:noProof/>
            </w:rPr>
            <w:t>18</w:t>
          </w:r>
          <w:r>
            <w:rPr>
              <w:noProof/>
            </w:rPr>
            <w:fldChar w:fldCharType="end"/>
          </w:r>
        </w:p>
        <w:p w:rsidR="0013379F" w:rsidRDefault="0013379F" w14:paraId="0D9AA62D" w14:textId="37DADDD4">
          <w:pPr>
            <w:pStyle w:val="TOC4"/>
            <w:tabs>
              <w:tab w:val="right" w:pos="9350"/>
            </w:tabs>
            <w:rPr>
              <w:rFonts w:eastAsiaTheme="minorEastAsia" w:cstheme="minorBidi"/>
              <w:noProof/>
              <w:sz w:val="22"/>
              <w:szCs w:val="22"/>
            </w:rPr>
          </w:pPr>
          <w:r w:rsidRPr="0096531A">
            <w:rPr>
              <w:i/>
              <w:noProof/>
            </w:rPr>
            <w:t>3.</w:t>
          </w:r>
          <w:r>
            <w:rPr>
              <w:noProof/>
            </w:rPr>
            <w:t>3 HCC Coordination Job Aids/Position Descriptions</w:t>
          </w:r>
          <w:r>
            <w:rPr>
              <w:noProof/>
            </w:rPr>
            <w:tab/>
          </w:r>
          <w:r>
            <w:rPr>
              <w:noProof/>
            </w:rPr>
            <w:fldChar w:fldCharType="begin"/>
          </w:r>
          <w:r>
            <w:rPr>
              <w:noProof/>
            </w:rPr>
            <w:instrText xml:space="preserve"> PAGEREF _Toc103417394 \h </w:instrText>
          </w:r>
          <w:r>
            <w:rPr>
              <w:noProof/>
            </w:rPr>
          </w:r>
          <w:r>
            <w:rPr>
              <w:noProof/>
            </w:rPr>
            <w:fldChar w:fldCharType="separate"/>
          </w:r>
          <w:r>
            <w:rPr>
              <w:noProof/>
            </w:rPr>
            <w:t>18</w:t>
          </w:r>
          <w:r>
            <w:rPr>
              <w:noProof/>
            </w:rPr>
            <w:fldChar w:fldCharType="end"/>
          </w:r>
        </w:p>
        <w:p w:rsidR="0013379F" w:rsidRDefault="0013379F" w14:paraId="00E5D15C" w14:textId="0D483EBD">
          <w:pPr>
            <w:pStyle w:val="TOC4"/>
            <w:tabs>
              <w:tab w:val="right" w:pos="9350"/>
            </w:tabs>
            <w:rPr>
              <w:rFonts w:eastAsiaTheme="minorEastAsia" w:cstheme="minorBidi"/>
              <w:noProof/>
              <w:sz w:val="22"/>
              <w:szCs w:val="22"/>
            </w:rPr>
          </w:pPr>
          <w:r w:rsidRPr="0096531A">
            <w:rPr>
              <w:noProof/>
            </w:rPr>
            <w:t>3.4 Applicable Report and Status Forms, Supply Lists etc</w:t>
          </w:r>
          <w:r>
            <w:rPr>
              <w:noProof/>
            </w:rPr>
            <w:t>.</w:t>
          </w:r>
          <w:r>
            <w:rPr>
              <w:noProof/>
            </w:rPr>
            <w:tab/>
          </w:r>
          <w:r>
            <w:rPr>
              <w:noProof/>
            </w:rPr>
            <w:fldChar w:fldCharType="begin"/>
          </w:r>
          <w:r>
            <w:rPr>
              <w:noProof/>
            </w:rPr>
            <w:instrText xml:space="preserve"> PAGEREF _Toc103417395 \h </w:instrText>
          </w:r>
          <w:r>
            <w:rPr>
              <w:noProof/>
            </w:rPr>
          </w:r>
          <w:r>
            <w:rPr>
              <w:noProof/>
            </w:rPr>
            <w:fldChar w:fldCharType="separate"/>
          </w:r>
          <w:r>
            <w:rPr>
              <w:noProof/>
            </w:rPr>
            <w:t>18</w:t>
          </w:r>
          <w:r>
            <w:rPr>
              <w:noProof/>
            </w:rPr>
            <w:fldChar w:fldCharType="end"/>
          </w:r>
        </w:p>
        <w:p w:rsidR="0013379F" w:rsidRDefault="0013379F" w14:paraId="0B9D7511" w14:textId="70717DEC">
          <w:pPr>
            <w:pStyle w:val="TOC5"/>
            <w:tabs>
              <w:tab w:val="right" w:pos="9350"/>
            </w:tabs>
            <w:rPr>
              <w:rFonts w:eastAsiaTheme="minorEastAsia" w:cstheme="minorBidi"/>
              <w:noProof/>
              <w:sz w:val="22"/>
              <w:szCs w:val="22"/>
            </w:rPr>
          </w:pPr>
          <w:r>
            <w:rPr>
              <w:noProof/>
            </w:rPr>
            <w:t xml:space="preserve">3.4.1 </w:t>
          </w:r>
          <w:r w:rsidRPr="0096531A">
            <w:rPr>
              <w:noProof/>
              <w:color w:val="FF0000" w:themeColor="hyperlink"/>
              <w:u w:val="single"/>
            </w:rPr>
            <w:t>Incident Action Planning Guide Revision 1 / July 2015 (fema.gov)</w:t>
          </w:r>
          <w:r>
            <w:rPr>
              <w:noProof/>
            </w:rPr>
            <w:tab/>
          </w:r>
          <w:r>
            <w:rPr>
              <w:noProof/>
            </w:rPr>
            <w:fldChar w:fldCharType="begin"/>
          </w:r>
          <w:r>
            <w:rPr>
              <w:noProof/>
            </w:rPr>
            <w:instrText xml:space="preserve"> PAGEREF _Toc103417396 \h </w:instrText>
          </w:r>
          <w:r>
            <w:rPr>
              <w:noProof/>
            </w:rPr>
          </w:r>
          <w:r>
            <w:rPr>
              <w:noProof/>
            </w:rPr>
            <w:fldChar w:fldCharType="separate"/>
          </w:r>
          <w:r>
            <w:rPr>
              <w:noProof/>
            </w:rPr>
            <w:t>18</w:t>
          </w:r>
          <w:r>
            <w:rPr>
              <w:noProof/>
            </w:rPr>
            <w:fldChar w:fldCharType="end"/>
          </w:r>
        </w:p>
        <w:p w:rsidR="0013379F" w:rsidRDefault="0013379F" w14:paraId="32A0BAF6" w14:textId="545B9F12">
          <w:pPr>
            <w:pStyle w:val="TOC5"/>
            <w:tabs>
              <w:tab w:val="right" w:pos="9350"/>
            </w:tabs>
            <w:rPr>
              <w:rFonts w:eastAsiaTheme="minorEastAsia" w:cstheme="minorBidi"/>
              <w:noProof/>
              <w:sz w:val="22"/>
              <w:szCs w:val="22"/>
            </w:rPr>
          </w:pPr>
          <w:r>
            <w:rPr>
              <w:noProof/>
            </w:rPr>
            <w:lastRenderedPageBreak/>
            <w:t>3.4.2 Essential Elements of Information</w:t>
          </w:r>
          <w:r>
            <w:rPr>
              <w:noProof/>
            </w:rPr>
            <w:tab/>
          </w:r>
          <w:r>
            <w:rPr>
              <w:noProof/>
            </w:rPr>
            <w:fldChar w:fldCharType="begin"/>
          </w:r>
          <w:r>
            <w:rPr>
              <w:noProof/>
            </w:rPr>
            <w:instrText xml:space="preserve"> PAGEREF _Toc103417397 \h </w:instrText>
          </w:r>
          <w:r>
            <w:rPr>
              <w:noProof/>
            </w:rPr>
          </w:r>
          <w:r>
            <w:rPr>
              <w:noProof/>
            </w:rPr>
            <w:fldChar w:fldCharType="separate"/>
          </w:r>
          <w:r>
            <w:rPr>
              <w:noProof/>
            </w:rPr>
            <w:t>18</w:t>
          </w:r>
          <w:r>
            <w:rPr>
              <w:noProof/>
            </w:rPr>
            <w:fldChar w:fldCharType="end"/>
          </w:r>
        </w:p>
        <w:p w:rsidR="0013379F" w:rsidRDefault="0013379F" w14:paraId="5B312DAB" w14:textId="0DF33298">
          <w:pPr>
            <w:pStyle w:val="TOC4"/>
            <w:tabs>
              <w:tab w:val="right" w:pos="9350"/>
            </w:tabs>
            <w:rPr>
              <w:rFonts w:eastAsiaTheme="minorEastAsia" w:cstheme="minorBidi"/>
              <w:noProof/>
              <w:sz w:val="22"/>
              <w:szCs w:val="22"/>
            </w:rPr>
          </w:pPr>
          <w:r>
            <w:rPr>
              <w:noProof/>
            </w:rPr>
            <w:t>3.5 Scenario Specific Considerations</w:t>
          </w:r>
          <w:r>
            <w:rPr>
              <w:noProof/>
            </w:rPr>
            <w:tab/>
          </w:r>
          <w:r>
            <w:rPr>
              <w:noProof/>
            </w:rPr>
            <w:fldChar w:fldCharType="begin"/>
          </w:r>
          <w:r>
            <w:rPr>
              <w:noProof/>
            </w:rPr>
            <w:instrText xml:space="preserve"> PAGEREF _Toc103417398 \h </w:instrText>
          </w:r>
          <w:r>
            <w:rPr>
              <w:noProof/>
            </w:rPr>
          </w:r>
          <w:r>
            <w:rPr>
              <w:noProof/>
            </w:rPr>
            <w:fldChar w:fldCharType="separate"/>
          </w:r>
          <w:r>
            <w:rPr>
              <w:noProof/>
            </w:rPr>
            <w:t>18</w:t>
          </w:r>
          <w:r>
            <w:rPr>
              <w:noProof/>
            </w:rPr>
            <w:fldChar w:fldCharType="end"/>
          </w:r>
        </w:p>
        <w:p w:rsidR="0013379F" w:rsidRDefault="0013379F" w14:paraId="08B1E775" w14:textId="18604569">
          <w:pPr>
            <w:pStyle w:val="TOC5"/>
            <w:tabs>
              <w:tab w:val="right" w:pos="9350"/>
            </w:tabs>
            <w:rPr>
              <w:rFonts w:eastAsiaTheme="minorEastAsia" w:cstheme="minorBidi"/>
              <w:noProof/>
              <w:sz w:val="22"/>
              <w:szCs w:val="22"/>
            </w:rPr>
          </w:pPr>
          <w:r>
            <w:rPr>
              <w:noProof/>
            </w:rPr>
            <w:t>3.5.1 Medical Surge Coordination</w:t>
          </w:r>
          <w:r>
            <w:rPr>
              <w:noProof/>
            </w:rPr>
            <w:tab/>
          </w:r>
          <w:r>
            <w:rPr>
              <w:noProof/>
            </w:rPr>
            <w:fldChar w:fldCharType="begin"/>
          </w:r>
          <w:r>
            <w:rPr>
              <w:noProof/>
            </w:rPr>
            <w:instrText xml:space="preserve"> PAGEREF _Toc103417399 \h </w:instrText>
          </w:r>
          <w:r>
            <w:rPr>
              <w:noProof/>
            </w:rPr>
          </w:r>
          <w:r>
            <w:rPr>
              <w:noProof/>
            </w:rPr>
            <w:fldChar w:fldCharType="separate"/>
          </w:r>
          <w:r>
            <w:rPr>
              <w:noProof/>
            </w:rPr>
            <w:t>18</w:t>
          </w:r>
          <w:r>
            <w:rPr>
              <w:noProof/>
            </w:rPr>
            <w:fldChar w:fldCharType="end"/>
          </w:r>
        </w:p>
        <w:p w:rsidR="0013379F" w:rsidRDefault="0013379F" w14:paraId="2C0925B5" w14:textId="7D22397E">
          <w:pPr>
            <w:pStyle w:val="TOC5"/>
            <w:tabs>
              <w:tab w:val="right" w:pos="9350"/>
            </w:tabs>
            <w:rPr>
              <w:rFonts w:eastAsiaTheme="minorEastAsia" w:cstheme="minorBidi"/>
              <w:noProof/>
              <w:sz w:val="22"/>
              <w:szCs w:val="22"/>
            </w:rPr>
          </w:pPr>
          <w:r w:rsidRPr="0096531A">
            <w:rPr>
              <w:noProof/>
              <w:highlight w:val="yellow"/>
            </w:rPr>
            <w:t>3.5.2 Public Information – Pending</w:t>
          </w:r>
          <w:r>
            <w:rPr>
              <w:noProof/>
            </w:rPr>
            <w:tab/>
          </w:r>
          <w:r>
            <w:rPr>
              <w:noProof/>
            </w:rPr>
            <w:fldChar w:fldCharType="begin"/>
          </w:r>
          <w:r>
            <w:rPr>
              <w:noProof/>
            </w:rPr>
            <w:instrText xml:space="preserve"> PAGEREF _Toc103417400 \h </w:instrText>
          </w:r>
          <w:r>
            <w:rPr>
              <w:noProof/>
            </w:rPr>
          </w:r>
          <w:r>
            <w:rPr>
              <w:noProof/>
            </w:rPr>
            <w:fldChar w:fldCharType="separate"/>
          </w:r>
          <w:r>
            <w:rPr>
              <w:noProof/>
            </w:rPr>
            <w:t>18</w:t>
          </w:r>
          <w:r>
            <w:rPr>
              <w:noProof/>
            </w:rPr>
            <w:fldChar w:fldCharType="end"/>
          </w:r>
        </w:p>
        <w:p w:rsidR="0013379F" w:rsidRDefault="0013379F" w14:paraId="75F85F0D" w14:textId="3293CBC5">
          <w:pPr>
            <w:pStyle w:val="TOC5"/>
            <w:tabs>
              <w:tab w:val="right" w:pos="9350"/>
            </w:tabs>
            <w:rPr>
              <w:rFonts w:eastAsiaTheme="minorEastAsia" w:cstheme="minorBidi"/>
              <w:noProof/>
              <w:sz w:val="22"/>
              <w:szCs w:val="22"/>
            </w:rPr>
          </w:pPr>
          <w:r w:rsidRPr="0096531A">
            <w:rPr>
              <w:noProof/>
              <w:highlight w:val="yellow"/>
            </w:rPr>
            <w:t>3.5.3 Disaster Behavioral Health – Pending</w:t>
          </w:r>
          <w:r>
            <w:rPr>
              <w:noProof/>
            </w:rPr>
            <w:tab/>
          </w:r>
          <w:r>
            <w:rPr>
              <w:noProof/>
            </w:rPr>
            <w:fldChar w:fldCharType="begin"/>
          </w:r>
          <w:r>
            <w:rPr>
              <w:noProof/>
            </w:rPr>
            <w:instrText xml:space="preserve"> PAGEREF _Toc103417401 \h </w:instrText>
          </w:r>
          <w:r>
            <w:rPr>
              <w:noProof/>
            </w:rPr>
          </w:r>
          <w:r>
            <w:rPr>
              <w:noProof/>
            </w:rPr>
            <w:fldChar w:fldCharType="separate"/>
          </w:r>
          <w:r>
            <w:rPr>
              <w:noProof/>
            </w:rPr>
            <w:t>18</w:t>
          </w:r>
          <w:r>
            <w:rPr>
              <w:noProof/>
            </w:rPr>
            <w:fldChar w:fldCharType="end"/>
          </w:r>
        </w:p>
        <w:p w:rsidR="0013379F" w:rsidRDefault="0013379F" w14:paraId="54636ECE" w14:textId="2490BDD1">
          <w:pPr>
            <w:pStyle w:val="TOC5"/>
            <w:tabs>
              <w:tab w:val="right" w:pos="9350"/>
            </w:tabs>
            <w:rPr>
              <w:rFonts w:eastAsiaTheme="minorEastAsia" w:cstheme="minorBidi"/>
              <w:noProof/>
              <w:sz w:val="22"/>
              <w:szCs w:val="22"/>
            </w:rPr>
          </w:pPr>
          <w:r>
            <w:rPr>
              <w:noProof/>
            </w:rPr>
            <w:t>3.5.4 Coalition Communications Plan</w:t>
          </w:r>
          <w:r>
            <w:rPr>
              <w:noProof/>
            </w:rPr>
            <w:tab/>
          </w:r>
          <w:r>
            <w:rPr>
              <w:noProof/>
            </w:rPr>
            <w:fldChar w:fldCharType="begin"/>
          </w:r>
          <w:r>
            <w:rPr>
              <w:noProof/>
            </w:rPr>
            <w:instrText xml:space="preserve"> PAGEREF _Toc103417402 \h </w:instrText>
          </w:r>
          <w:r>
            <w:rPr>
              <w:noProof/>
            </w:rPr>
          </w:r>
          <w:r>
            <w:rPr>
              <w:noProof/>
            </w:rPr>
            <w:fldChar w:fldCharType="separate"/>
          </w:r>
          <w:r>
            <w:rPr>
              <w:noProof/>
            </w:rPr>
            <w:t>18</w:t>
          </w:r>
          <w:r>
            <w:rPr>
              <w:noProof/>
            </w:rPr>
            <w:fldChar w:fldCharType="end"/>
          </w:r>
        </w:p>
        <w:p w:rsidR="0013379F" w:rsidRDefault="0013379F" w14:paraId="059EC30F" w14:textId="15DB181F">
          <w:pPr>
            <w:pStyle w:val="TOC5"/>
            <w:tabs>
              <w:tab w:val="right" w:pos="9350"/>
            </w:tabs>
            <w:rPr>
              <w:rFonts w:eastAsiaTheme="minorEastAsia" w:cstheme="minorBidi"/>
              <w:noProof/>
              <w:sz w:val="22"/>
              <w:szCs w:val="22"/>
            </w:rPr>
          </w:pPr>
          <w:r>
            <w:rPr>
              <w:noProof/>
            </w:rPr>
            <w:t>3.5.5 Regional Resource Allocation Plan</w:t>
          </w:r>
          <w:r>
            <w:rPr>
              <w:noProof/>
            </w:rPr>
            <w:tab/>
          </w:r>
          <w:r>
            <w:rPr>
              <w:noProof/>
            </w:rPr>
            <w:fldChar w:fldCharType="begin"/>
          </w:r>
          <w:r>
            <w:rPr>
              <w:noProof/>
            </w:rPr>
            <w:instrText xml:space="preserve"> PAGEREF _Toc103417403 \h </w:instrText>
          </w:r>
          <w:r>
            <w:rPr>
              <w:noProof/>
            </w:rPr>
          </w:r>
          <w:r>
            <w:rPr>
              <w:noProof/>
            </w:rPr>
            <w:fldChar w:fldCharType="separate"/>
          </w:r>
          <w:r>
            <w:rPr>
              <w:noProof/>
            </w:rPr>
            <w:t>18</w:t>
          </w:r>
          <w:r>
            <w:rPr>
              <w:noProof/>
            </w:rPr>
            <w:fldChar w:fldCharType="end"/>
          </w:r>
        </w:p>
        <w:p w:rsidR="0013379F" w:rsidRDefault="0013379F" w14:paraId="36ADD158" w14:textId="469A9C05">
          <w:pPr>
            <w:pStyle w:val="TOC5"/>
            <w:tabs>
              <w:tab w:val="right" w:pos="9350"/>
            </w:tabs>
            <w:rPr>
              <w:rFonts w:eastAsiaTheme="minorEastAsia" w:cstheme="minorBidi"/>
              <w:noProof/>
              <w:sz w:val="22"/>
              <w:szCs w:val="22"/>
            </w:rPr>
          </w:pPr>
          <w:r>
            <w:rPr>
              <w:noProof/>
            </w:rPr>
            <w:t>3.5.6 Handling of Solid Waste Contaminated with a Category ‘A’ Infectious Waste</w:t>
          </w:r>
          <w:r>
            <w:rPr>
              <w:noProof/>
            </w:rPr>
            <w:tab/>
          </w:r>
          <w:r>
            <w:rPr>
              <w:noProof/>
            </w:rPr>
            <w:fldChar w:fldCharType="begin"/>
          </w:r>
          <w:r>
            <w:rPr>
              <w:noProof/>
            </w:rPr>
            <w:instrText xml:space="preserve"> PAGEREF _Toc103417404 \h </w:instrText>
          </w:r>
          <w:r>
            <w:rPr>
              <w:noProof/>
            </w:rPr>
          </w:r>
          <w:r>
            <w:rPr>
              <w:noProof/>
            </w:rPr>
            <w:fldChar w:fldCharType="separate"/>
          </w:r>
          <w:r>
            <w:rPr>
              <w:noProof/>
            </w:rPr>
            <w:t>19</w:t>
          </w:r>
          <w:r>
            <w:rPr>
              <w:noProof/>
            </w:rPr>
            <w:fldChar w:fldCharType="end"/>
          </w:r>
        </w:p>
        <w:p w:rsidR="0013379F" w:rsidRDefault="0013379F" w14:paraId="4544EDF7" w14:textId="0E8D117A">
          <w:pPr>
            <w:pStyle w:val="TOC5"/>
            <w:tabs>
              <w:tab w:val="right" w:pos="9350"/>
            </w:tabs>
            <w:rPr>
              <w:rFonts w:eastAsiaTheme="minorEastAsia" w:cstheme="minorBidi"/>
              <w:noProof/>
              <w:sz w:val="22"/>
              <w:szCs w:val="22"/>
            </w:rPr>
          </w:pPr>
          <w:r>
            <w:rPr>
              <w:noProof/>
            </w:rPr>
            <w:t>3.5.7 MN Responds Volunteer Workforce Plan</w:t>
          </w:r>
          <w:r>
            <w:rPr>
              <w:noProof/>
            </w:rPr>
            <w:tab/>
          </w:r>
          <w:r>
            <w:rPr>
              <w:noProof/>
            </w:rPr>
            <w:fldChar w:fldCharType="begin"/>
          </w:r>
          <w:r>
            <w:rPr>
              <w:noProof/>
            </w:rPr>
            <w:instrText xml:space="preserve"> PAGEREF _Toc103417405 \h </w:instrText>
          </w:r>
          <w:r>
            <w:rPr>
              <w:noProof/>
            </w:rPr>
          </w:r>
          <w:r>
            <w:rPr>
              <w:noProof/>
            </w:rPr>
            <w:fldChar w:fldCharType="separate"/>
          </w:r>
          <w:r>
            <w:rPr>
              <w:noProof/>
            </w:rPr>
            <w:t>19</w:t>
          </w:r>
          <w:r>
            <w:rPr>
              <w:noProof/>
            </w:rPr>
            <w:fldChar w:fldCharType="end"/>
          </w:r>
        </w:p>
        <w:p w:rsidR="0013379F" w:rsidRDefault="0013379F" w14:paraId="006A0423" w14:textId="17F46686">
          <w:pPr>
            <w:pStyle w:val="TOC2"/>
            <w:tabs>
              <w:tab w:val="right" w:pos="9350"/>
            </w:tabs>
            <w:rPr>
              <w:rFonts w:eastAsiaTheme="minorEastAsia" w:cstheme="minorBidi"/>
              <w:i w:val="0"/>
              <w:iCs w:val="0"/>
              <w:noProof/>
              <w:sz w:val="22"/>
              <w:szCs w:val="22"/>
            </w:rPr>
          </w:pPr>
          <w:r>
            <w:rPr>
              <w:noProof/>
            </w:rPr>
            <w:t>Approvals and Revisions</w:t>
          </w:r>
          <w:r>
            <w:rPr>
              <w:noProof/>
            </w:rPr>
            <w:tab/>
          </w:r>
          <w:r>
            <w:rPr>
              <w:noProof/>
            </w:rPr>
            <w:fldChar w:fldCharType="begin"/>
          </w:r>
          <w:r>
            <w:rPr>
              <w:noProof/>
            </w:rPr>
            <w:instrText xml:space="preserve"> PAGEREF _Toc103417406 \h </w:instrText>
          </w:r>
          <w:r>
            <w:rPr>
              <w:noProof/>
            </w:rPr>
          </w:r>
          <w:r>
            <w:rPr>
              <w:noProof/>
            </w:rPr>
            <w:fldChar w:fldCharType="separate"/>
          </w:r>
          <w:r>
            <w:rPr>
              <w:noProof/>
            </w:rPr>
            <w:t>19</w:t>
          </w:r>
          <w:r>
            <w:rPr>
              <w:noProof/>
            </w:rPr>
            <w:fldChar w:fldCharType="end"/>
          </w:r>
        </w:p>
        <w:p w:rsidR="001E62FA" w:rsidP="004D190D" w:rsidRDefault="004D190D" w14:paraId="6CACD4B4" w14:textId="7E2D594D">
          <w:pPr>
            <w:pStyle w:val="TOC1"/>
          </w:pPr>
          <w:r>
            <w:fldChar w:fldCharType="end"/>
          </w:r>
        </w:p>
      </w:sdtContent>
    </w:sdt>
    <w:p w:rsidR="00181118" w:rsidP="001E62FA" w:rsidRDefault="00181118" w14:paraId="25C82BB0" w14:textId="7E4BB3C1">
      <w:pPr>
        <w:spacing w:before="0" w:line="240" w:lineRule="auto"/>
      </w:pPr>
    </w:p>
    <w:p w:rsidR="00DD2D29" w:rsidP="00AF5E0A" w:rsidRDefault="00DD2D29" w14:paraId="0B40C29A" w14:textId="77777777">
      <w:pPr>
        <w:spacing w:before="0" w:line="240" w:lineRule="auto"/>
        <w:ind w:left="0"/>
      </w:pPr>
    </w:p>
    <w:p w:rsidR="00AD62DC" w:rsidP="008764D8" w:rsidRDefault="00AD62DC" w14:paraId="4E76423F" w14:textId="77777777">
      <w:pPr>
        <w:ind w:left="0"/>
      </w:pPr>
    </w:p>
    <w:p w:rsidR="00AD62DC" w:rsidRDefault="00AD62DC" w14:paraId="29D83C7C" w14:textId="77777777">
      <w:r>
        <w:br w:type="page"/>
      </w:r>
    </w:p>
    <w:p w:rsidR="00DA5B0C" w:rsidP="00C34F4C" w:rsidRDefault="000B1AE8" w14:paraId="67953377" w14:textId="36067063">
      <w:pPr>
        <w:pStyle w:val="Heading1"/>
        <w:numPr>
          <w:ilvl w:val="0"/>
          <w:numId w:val="25"/>
        </w:numPr>
      </w:pPr>
      <w:bookmarkStart w:name="_Toc509693782" w:id="0"/>
      <w:bookmarkStart w:name="_Toc514328036" w:id="1"/>
      <w:bookmarkStart w:name="_Toc501376738" w:id="2"/>
      <w:bookmarkStart w:name="_Toc103411571" w:id="3"/>
      <w:bookmarkStart w:name="_Toc103417361" w:id="4"/>
      <w:r>
        <w:lastRenderedPageBreak/>
        <w:t>Introduction</w:t>
      </w:r>
      <w:bookmarkStart w:name="_Toc509693783" w:id="5"/>
      <w:bookmarkEnd w:id="0"/>
      <w:bookmarkEnd w:id="1"/>
      <w:bookmarkEnd w:id="3"/>
      <w:bookmarkEnd w:id="4"/>
    </w:p>
    <w:p w:rsidRPr="00C34F4C" w:rsidR="00C34F4C" w:rsidP="4162B6B1" w:rsidRDefault="00C34F4C" w14:paraId="4096CB01" w14:textId="71EBB19E">
      <w:pPr>
        <w:spacing w:before="0" w:line="276" w:lineRule="auto"/>
        <w:ind w:left="0"/>
        <w:rPr>
          <w:rFonts w:cs="Calibri" w:cstheme="minorAscii"/>
          <w:sz w:val="22"/>
          <w:szCs w:val="22"/>
        </w:rPr>
      </w:pPr>
      <w:r w:rsidRPr="4162B6B1" w:rsidR="1ADF8BAD">
        <w:rPr>
          <w:rFonts w:cs="Calibri" w:cstheme="minorAscii"/>
          <w:sz w:val="22"/>
          <w:szCs w:val="22"/>
        </w:rPr>
        <w:t xml:space="preserve">Disaster coordination, defined by the National Incident Management System (NIMS), is the process of systematically analyzing a situation, developing relevant information, and informing </w:t>
      </w:r>
      <w:r w:rsidRPr="4162B6B1" w:rsidR="1ADF8BAD">
        <w:rPr>
          <w:rFonts w:cs="Calibri" w:cstheme="minorAscii"/>
          <w:sz w:val="22"/>
          <w:szCs w:val="22"/>
        </w:rPr>
        <w:t>appropriate command</w:t>
      </w:r>
      <w:r w:rsidRPr="4162B6B1" w:rsidR="1ADF8BAD">
        <w:rPr>
          <w:rFonts w:cs="Calibri" w:cstheme="minorAscii"/>
          <w:sz w:val="22"/>
          <w:szCs w:val="22"/>
        </w:rPr>
        <w:t xml:space="preserve"> authority of </w:t>
      </w:r>
      <w:r w:rsidRPr="4162B6B1" w:rsidR="1ADF8BAD">
        <w:rPr>
          <w:rFonts w:cs="Calibri" w:cstheme="minorAscii"/>
          <w:sz w:val="22"/>
          <w:szCs w:val="22"/>
        </w:rPr>
        <w:t>viable</w:t>
      </w:r>
      <w:r w:rsidRPr="4162B6B1" w:rsidR="1ADF8BAD">
        <w:rPr>
          <w:rFonts w:cs="Calibri" w:cstheme="minorAscii"/>
          <w:sz w:val="22"/>
          <w:szCs w:val="22"/>
        </w:rPr>
        <w:t xml:space="preserve"> alternatives for selection of an effective combination of available resources to meet specific </w:t>
      </w:r>
      <w:r w:rsidRPr="4162B6B1" w:rsidR="1ADF8BAD">
        <w:rPr>
          <w:rFonts w:cs="Calibri" w:cstheme="minorAscii"/>
          <w:sz w:val="22"/>
          <w:szCs w:val="22"/>
        </w:rPr>
        <w:t>objectives</w:t>
      </w:r>
      <w:r w:rsidRPr="4162B6B1" w:rsidR="1ADF8BAD">
        <w:rPr>
          <w:rFonts w:cs="Calibri" w:cstheme="minorAscii"/>
          <w:sz w:val="22"/>
          <w:szCs w:val="22"/>
        </w:rPr>
        <w:t>.</w:t>
      </w:r>
    </w:p>
    <w:p w:rsidR="005C6B2E" w:rsidP="00822CFC" w:rsidRDefault="005C6B2E" w14:paraId="61E454F0" w14:textId="77777777">
      <w:pPr>
        <w:pStyle w:val="Heading2"/>
        <w:ind w:left="0"/>
      </w:pPr>
      <w:bookmarkStart w:name="_Toc103411572" w:id="6"/>
      <w:bookmarkStart w:name="_Toc103417362" w:id="7"/>
      <w:r>
        <w:t>1.1</w:t>
      </w:r>
      <w:r>
        <w:tab/>
      </w:r>
      <w:r>
        <w:t>Purpose</w:t>
      </w:r>
      <w:bookmarkEnd w:id="5"/>
      <w:bookmarkEnd w:id="6"/>
      <w:bookmarkEnd w:id="7"/>
    </w:p>
    <w:p w:rsidRPr="00C34F4C" w:rsidR="00C34F4C" w:rsidP="00822CFC" w:rsidRDefault="00C34F4C" w14:paraId="337756BC" w14:textId="77777777">
      <w:pPr>
        <w:spacing w:before="120" w:after="120" w:line="276" w:lineRule="auto"/>
        <w:ind w:left="0"/>
        <w:rPr>
          <w:rFonts w:ascii="Calibri" w:hAnsi="Calibri" w:eastAsia="Calibri" w:cs="Calibri"/>
          <w:sz w:val="22"/>
        </w:rPr>
      </w:pPr>
      <w:r w:rsidRPr="00C34F4C">
        <w:rPr>
          <w:rFonts w:ascii="Calibri" w:hAnsi="Calibri" w:eastAsia="Calibri" w:cs="Calibri"/>
          <w:sz w:val="22"/>
        </w:rPr>
        <w:t xml:space="preserve">The CMHPC Response Plan (Response Plan) will guide the operations of the CMHPC using a </w:t>
      </w:r>
      <w:r w:rsidRPr="00C34F4C">
        <w:rPr>
          <w:rFonts w:ascii="Calibri" w:hAnsi="Calibri" w:eastAsia="Times New Roman" w:cs="Times New Roman"/>
          <w:sz w:val="22"/>
          <w:lang w:bidi="en-US"/>
        </w:rPr>
        <w:t xml:space="preserve">health care multi-agency coordination (HMAC) group </w:t>
      </w:r>
      <w:r w:rsidRPr="00C34F4C">
        <w:rPr>
          <w:rFonts w:ascii="Calibri" w:hAnsi="Calibri" w:eastAsia="Calibri" w:cs="Calibri"/>
          <w:sz w:val="22"/>
        </w:rPr>
        <w:t>approach. The Response Plan provides general guidance and operational checklists for notification, activation, response, and recovery to all-hazards events that threaten the CMHPC member agencies and/or result in illness or injury to the population within the CMHPC’s boundaries and the health and medical care system.</w:t>
      </w:r>
    </w:p>
    <w:p w:rsidRPr="00C34F4C" w:rsidR="00C34F4C" w:rsidP="00822CFC" w:rsidRDefault="00C34F4C" w14:paraId="04473202" w14:textId="77777777">
      <w:pPr>
        <w:spacing w:before="120" w:after="120" w:line="276" w:lineRule="auto"/>
        <w:ind w:left="0"/>
        <w:rPr>
          <w:rFonts w:ascii="Calibri" w:hAnsi="Calibri" w:eastAsia="Calibri" w:cs="Calibri"/>
          <w:sz w:val="22"/>
        </w:rPr>
      </w:pPr>
      <w:r w:rsidRPr="00C34F4C">
        <w:rPr>
          <w:rFonts w:ascii="Calibri" w:hAnsi="Calibri" w:eastAsia="Times New Roman" w:cs="Times New Roman"/>
          <w:sz w:val="22"/>
          <w:lang w:bidi="en-US"/>
        </w:rPr>
        <w:t xml:space="preserve">This document outlines the functions of the CMHPC during a response, and the potential for activation of the health care multi-agency coordination (HMAC) group. Information and resource sharing are the primary response drivers </w:t>
      </w:r>
      <w:r w:rsidRPr="00C34F4C">
        <w:rPr>
          <w:rFonts w:ascii="Calibri" w:hAnsi="Calibri" w:eastAsia="Calibri" w:cs="Calibri"/>
          <w:sz w:val="22"/>
        </w:rPr>
        <w:t>during an incident, that exceeds the capacity and capability of health care systems. The Response Plan is meant to provide guidance only and does not substitute for the experience of the personnel responsible for making decisions at the time of the incident.</w:t>
      </w:r>
    </w:p>
    <w:p w:rsidR="003E1DB2" w:rsidP="00822CFC" w:rsidRDefault="003E1DB2" w14:paraId="58AEB5F5" w14:textId="77777777">
      <w:pPr>
        <w:pStyle w:val="Heading2"/>
        <w:ind w:left="0"/>
      </w:pPr>
      <w:bookmarkStart w:name="_Toc103411573" w:id="8"/>
      <w:bookmarkStart w:name="_Toc103417363" w:id="9"/>
      <w:r>
        <w:t xml:space="preserve">1.2 </w:t>
      </w:r>
      <w:r>
        <w:tab/>
      </w:r>
      <w:r>
        <w:t>Scope</w:t>
      </w:r>
      <w:bookmarkEnd w:id="8"/>
      <w:bookmarkEnd w:id="9"/>
    </w:p>
    <w:p w:rsidRPr="00C34F4C" w:rsidR="00C34F4C" w:rsidP="00822CFC" w:rsidRDefault="00C34F4C" w14:paraId="33A01C52" w14:textId="77777777">
      <w:pPr>
        <w:spacing w:before="120" w:after="120" w:line="276" w:lineRule="auto"/>
        <w:ind w:left="0"/>
        <w:rPr>
          <w:rFonts w:ascii="Calibri" w:hAnsi="Calibri" w:eastAsia="Calibri" w:cs="Calibri"/>
          <w:sz w:val="22"/>
        </w:rPr>
      </w:pPr>
      <w:bookmarkStart w:name="_Toc509693796" w:id="10"/>
      <w:r w:rsidRPr="00C34F4C">
        <w:rPr>
          <w:rFonts w:ascii="Calibri" w:hAnsi="Calibri" w:eastAsia="Times New Roman" w:cs="Times New Roman"/>
          <w:sz w:val="22"/>
          <w:lang w:bidi="en-US"/>
        </w:rPr>
        <w:t xml:space="preserve">Both the Preparedness and Response Plan are designed as supporting tools and are not meant to replace or interfere with an organization’s emergency operations plans (EOPs), or the jurisdictional command and control authorized by state and local emergency management agencies. </w:t>
      </w:r>
      <w:r w:rsidRPr="00C34F4C">
        <w:rPr>
          <w:rFonts w:ascii="Calibri" w:hAnsi="Calibri" w:eastAsia="Calibri" w:cs="Calibri"/>
          <w:sz w:val="22"/>
        </w:rPr>
        <w:t>This Plan applies to the response team members of the CMHPC when an incident occurs that is beyond the individual organizations’ ability to manage the response. It is limited to agreements and documents signed by the Central Minnesota Health Care Preparedness Coalition (CMHPC) member organizations.</w:t>
      </w:r>
    </w:p>
    <w:p w:rsidRPr="00C34F4C" w:rsidR="00C34F4C" w:rsidP="00822CFC" w:rsidRDefault="00C34F4C" w14:paraId="206B4331" w14:textId="77777777">
      <w:pPr>
        <w:spacing w:before="120" w:after="120" w:line="276" w:lineRule="auto"/>
        <w:ind w:left="0"/>
        <w:rPr>
          <w:rFonts w:ascii="Calibri" w:hAnsi="Calibri" w:eastAsia="Times New Roman" w:cs="Times New Roman"/>
          <w:sz w:val="22"/>
        </w:rPr>
      </w:pPr>
      <w:r w:rsidRPr="00C34F4C">
        <w:rPr>
          <w:rFonts w:ascii="Calibri" w:hAnsi="Calibri" w:eastAsia="Times New Roman" w:cs="Times New Roman"/>
          <w:sz w:val="22"/>
        </w:rPr>
        <w:t>The CMHPC will support public health and medical response and recovery to include, but not limited to:</w:t>
      </w:r>
    </w:p>
    <w:p w:rsidRPr="00C34F4C" w:rsidR="00C34F4C" w:rsidP="00822CFC" w:rsidRDefault="00C34F4C" w14:paraId="4DFD7AA1" w14:textId="7D1FC46E">
      <w:pPr>
        <w:numPr>
          <w:ilvl w:val="0"/>
          <w:numId w:val="26"/>
        </w:numPr>
        <w:spacing w:before="60" w:after="60" w:line="276" w:lineRule="auto"/>
        <w:contextualSpacing/>
        <w:rPr>
          <w:rFonts w:ascii="Calibri" w:hAnsi="Calibri" w:eastAsia="Times New Roman" w:cs="Times New Roman"/>
          <w:sz w:val="22"/>
          <w:lang w:bidi="en-US"/>
        </w:rPr>
      </w:pPr>
      <w:r w:rsidRPr="00C34F4C">
        <w:rPr>
          <w:rFonts w:ascii="Calibri" w:hAnsi="Calibri" w:eastAsia="Times New Roman" w:cs="Times New Roman"/>
          <w:sz w:val="22"/>
          <w:lang w:bidi="en-US"/>
        </w:rPr>
        <w:t xml:space="preserve">Providing regional coordination of planning, </w:t>
      </w:r>
      <w:r w:rsidRPr="00C34F4C" w:rsidR="00B63DED">
        <w:rPr>
          <w:rFonts w:ascii="Calibri" w:hAnsi="Calibri" w:eastAsia="Times New Roman" w:cs="Times New Roman"/>
          <w:sz w:val="22"/>
          <w:lang w:bidi="en-US"/>
        </w:rPr>
        <w:t>training,</w:t>
      </w:r>
      <w:r w:rsidRPr="00C34F4C">
        <w:rPr>
          <w:rFonts w:ascii="Calibri" w:hAnsi="Calibri" w:eastAsia="Times New Roman" w:cs="Times New Roman"/>
          <w:sz w:val="22"/>
          <w:lang w:bidi="en-US"/>
        </w:rPr>
        <w:t xml:space="preserve"> and exercising for Central Region health and medical </w:t>
      </w:r>
      <w:r w:rsidRPr="00C34F4C" w:rsidR="00822CFC">
        <w:rPr>
          <w:rFonts w:ascii="Calibri" w:hAnsi="Calibri" w:eastAsia="Times New Roman" w:cs="Times New Roman"/>
          <w:sz w:val="22"/>
          <w:lang w:bidi="en-US"/>
        </w:rPr>
        <w:t>entities.</w:t>
      </w:r>
    </w:p>
    <w:p w:rsidRPr="00C34F4C" w:rsidR="00C34F4C" w:rsidP="00822CFC" w:rsidRDefault="00C34F4C" w14:paraId="10564570" w14:textId="587EAECA">
      <w:pPr>
        <w:numPr>
          <w:ilvl w:val="0"/>
          <w:numId w:val="26"/>
        </w:numPr>
        <w:spacing w:before="60" w:after="60" w:line="276" w:lineRule="auto"/>
        <w:contextualSpacing/>
        <w:rPr>
          <w:rFonts w:ascii="Calibri" w:hAnsi="Calibri" w:eastAsia="Times New Roman" w:cs="Times New Roman"/>
          <w:sz w:val="22"/>
          <w:lang w:bidi="en-US"/>
        </w:rPr>
      </w:pPr>
      <w:r w:rsidRPr="00C34F4C">
        <w:rPr>
          <w:rFonts w:ascii="Calibri" w:hAnsi="Calibri" w:eastAsia="Times New Roman" w:cs="Times New Roman"/>
          <w:sz w:val="22"/>
          <w:lang w:bidi="en-US"/>
        </w:rPr>
        <w:t xml:space="preserve">Providing health and medical situational information to support a regionally coordinated </w:t>
      </w:r>
      <w:r w:rsidRPr="00C34F4C" w:rsidR="00822CFC">
        <w:rPr>
          <w:rFonts w:ascii="Calibri" w:hAnsi="Calibri" w:eastAsia="Times New Roman" w:cs="Times New Roman"/>
          <w:sz w:val="22"/>
          <w:lang w:bidi="en-US"/>
        </w:rPr>
        <w:t>response.</w:t>
      </w:r>
    </w:p>
    <w:p w:rsidRPr="00C34F4C" w:rsidR="00C34F4C" w:rsidP="00822CFC" w:rsidRDefault="00C34F4C" w14:paraId="58B29016" w14:textId="5E2E5D11">
      <w:pPr>
        <w:numPr>
          <w:ilvl w:val="0"/>
          <w:numId w:val="26"/>
        </w:numPr>
        <w:spacing w:before="60" w:after="60" w:line="276" w:lineRule="auto"/>
        <w:contextualSpacing/>
        <w:rPr>
          <w:rFonts w:ascii="Calibri" w:hAnsi="Calibri" w:eastAsia="Times New Roman" w:cs="Calibri"/>
          <w:sz w:val="22"/>
          <w:lang w:bidi="en-US"/>
        </w:rPr>
      </w:pPr>
      <w:r w:rsidRPr="00C34F4C">
        <w:rPr>
          <w:rFonts w:ascii="Calibri" w:hAnsi="Calibri" w:eastAsia="Times New Roman" w:cs="Calibri"/>
          <w:sz w:val="22"/>
          <w:lang w:bidi="en-US"/>
        </w:rPr>
        <w:t xml:space="preserve">Facilitating a </w:t>
      </w:r>
      <w:r w:rsidRPr="00C34F4C">
        <w:rPr>
          <w:rFonts w:ascii="Calibri" w:hAnsi="Calibri" w:eastAsia="Times New Roman" w:cs="Times New Roman"/>
          <w:sz w:val="22"/>
          <w:lang w:bidi="en-US"/>
        </w:rPr>
        <w:t xml:space="preserve">health care multi-agency coordination (HMAC) </w:t>
      </w:r>
      <w:r w:rsidRPr="00C34F4C" w:rsidR="00822CFC">
        <w:rPr>
          <w:rFonts w:ascii="Calibri" w:hAnsi="Calibri" w:eastAsia="Times New Roman" w:cs="Times New Roman"/>
          <w:sz w:val="22"/>
          <w:lang w:bidi="en-US"/>
        </w:rPr>
        <w:t>group</w:t>
      </w:r>
      <w:r w:rsidRPr="00C34F4C" w:rsidR="00822CFC">
        <w:rPr>
          <w:rFonts w:ascii="Calibri" w:hAnsi="Calibri" w:eastAsia="Times New Roman" w:cs="Calibri"/>
          <w:sz w:val="22"/>
          <w:lang w:bidi="en-US"/>
        </w:rPr>
        <w:t>.</w:t>
      </w:r>
    </w:p>
    <w:p w:rsidRPr="00C34F4C" w:rsidR="00C34F4C" w:rsidP="00822CFC" w:rsidRDefault="00C34F4C" w14:paraId="554E70E3" w14:textId="50AA6529">
      <w:pPr>
        <w:numPr>
          <w:ilvl w:val="0"/>
          <w:numId w:val="26"/>
        </w:numPr>
        <w:spacing w:before="60" w:after="60" w:line="276" w:lineRule="auto"/>
        <w:contextualSpacing/>
        <w:rPr>
          <w:rFonts w:ascii="Calibri" w:hAnsi="Calibri" w:eastAsia="Times New Roman" w:cs="Times New Roman"/>
          <w:sz w:val="22"/>
          <w:lang w:bidi="en-US"/>
        </w:rPr>
      </w:pPr>
      <w:r w:rsidRPr="00C34F4C">
        <w:rPr>
          <w:rFonts w:ascii="Calibri" w:hAnsi="Calibri" w:eastAsia="Times New Roman" w:cs="Times New Roman"/>
          <w:sz w:val="22"/>
          <w:lang w:bidi="en-US"/>
        </w:rPr>
        <w:t xml:space="preserve">Addressing the appropriate capability targets as defined by Emergency Management, Public </w:t>
      </w:r>
      <w:r w:rsidRPr="00C34F4C" w:rsidR="00822CFC">
        <w:rPr>
          <w:rFonts w:ascii="Calibri" w:hAnsi="Calibri" w:eastAsia="Times New Roman" w:cs="Times New Roman"/>
          <w:sz w:val="22"/>
          <w:lang w:bidi="en-US"/>
        </w:rPr>
        <w:t>Health,</w:t>
      </w:r>
      <w:r w:rsidRPr="00C34F4C">
        <w:rPr>
          <w:rFonts w:ascii="Calibri" w:hAnsi="Calibri" w:eastAsia="Times New Roman" w:cs="Times New Roman"/>
          <w:sz w:val="22"/>
          <w:lang w:bidi="en-US"/>
        </w:rPr>
        <w:t xml:space="preserve"> and Health care.</w:t>
      </w:r>
    </w:p>
    <w:p w:rsidRPr="00C34F4C" w:rsidR="00C34F4C" w:rsidP="4162B6B1" w:rsidRDefault="00C34F4C" w14:paraId="5473C26E" w14:textId="5F0D8BFD">
      <w:pPr>
        <w:spacing w:before="120" w:after="120" w:line="276" w:lineRule="auto"/>
        <w:ind w:left="0"/>
        <w:rPr>
          <w:rFonts w:ascii="Calibri" w:hAnsi="Calibri" w:eastAsia="Calibri" w:cs="Calibri"/>
          <w:sz w:val="22"/>
          <w:szCs w:val="22"/>
        </w:rPr>
      </w:pPr>
      <w:r w:rsidRPr="4162B6B1" w:rsidR="1ADF8BAD">
        <w:rPr>
          <w:rFonts w:ascii="Calibri" w:hAnsi="Calibri" w:eastAsia="Calibri" w:cs="Calibri"/>
          <w:sz w:val="22"/>
          <w:szCs w:val="22"/>
        </w:rPr>
        <w:t>The Central Minnesota Health Care Preparedness Coalition has no specific legal authority. Each entity represented in the CMHPC has discipline specific authority and will integrate that authority to support coordination and leverage planning and response within agreements or statutory authority</w:t>
      </w:r>
      <w:r w:rsidRPr="4162B6B1" w:rsidR="1ADF8BAD">
        <w:rPr>
          <w:rFonts w:ascii="Calibri" w:hAnsi="Calibri" w:eastAsia="Calibri" w:cs="Calibri"/>
          <w:sz w:val="22"/>
          <w:szCs w:val="22"/>
        </w:rPr>
        <w:t xml:space="preserve">. </w:t>
      </w:r>
      <w:r w:rsidRPr="4162B6B1" w:rsidR="1ADF8BAD">
        <w:rPr>
          <w:rFonts w:ascii="Calibri" w:hAnsi="Calibri" w:eastAsia="Calibri" w:cs="Calibri"/>
          <w:sz w:val="22"/>
          <w:szCs w:val="22"/>
        </w:rPr>
        <w:t xml:space="preserve">See the </w:t>
      </w:r>
      <w:r w:rsidRPr="4162B6B1" w:rsidR="10498685">
        <w:rPr>
          <w:rFonts w:ascii="Calibri" w:hAnsi="Calibri" w:eastAsia="Calibri" w:cs="Calibri"/>
          <w:sz w:val="22"/>
          <w:szCs w:val="22"/>
        </w:rPr>
        <w:t xml:space="preserve">preparedness plan which lists specific authorities. </w:t>
      </w:r>
    </w:p>
    <w:p w:rsidR="00527B0F" w:rsidP="00B63DED" w:rsidRDefault="00AD62DC" w14:paraId="03804D6C" w14:textId="77777777">
      <w:pPr>
        <w:pStyle w:val="Heading2"/>
        <w:ind w:left="0"/>
      </w:pPr>
      <w:bookmarkStart w:name="_Toc103411574" w:id="11"/>
      <w:bookmarkStart w:name="_Toc103417364" w:id="12"/>
      <w:r>
        <w:lastRenderedPageBreak/>
        <w:t>1.3</w:t>
      </w:r>
      <w:r>
        <w:tab/>
      </w:r>
      <w:r>
        <w:t>Situation and Assumptions</w:t>
      </w:r>
      <w:bookmarkEnd w:id="11"/>
      <w:bookmarkEnd w:id="12"/>
    </w:p>
    <w:p w:rsidRPr="00822CFC" w:rsidR="00822CFC" w:rsidP="00B63DED" w:rsidRDefault="00822CFC" w14:paraId="5C3AE722" w14:textId="77777777">
      <w:pPr>
        <w:autoSpaceDE w:val="0"/>
        <w:autoSpaceDN w:val="0"/>
        <w:adjustRightInd w:val="0"/>
        <w:spacing w:before="120" w:line="276" w:lineRule="auto"/>
        <w:ind w:left="0"/>
        <w:rPr>
          <w:rFonts w:ascii="Calibri" w:hAnsi="Calibri" w:eastAsia="Times New Roman" w:cs="Calibri"/>
          <w:sz w:val="22"/>
          <w:lang w:bidi="en-US"/>
        </w:rPr>
      </w:pPr>
      <w:r w:rsidRPr="00822CFC">
        <w:rPr>
          <w:rFonts w:ascii="Calibri" w:hAnsi="Calibri" w:eastAsia="Times New Roman" w:cs="Calibri"/>
          <w:sz w:val="22"/>
          <w:lang w:bidi="en-US"/>
        </w:rPr>
        <w:t>The following assumptions apply to the CMHPC Response Plan:</w:t>
      </w:r>
    </w:p>
    <w:p w:rsidRPr="00822CFC" w:rsidR="00822CFC" w:rsidP="4162B6B1" w:rsidRDefault="00822CFC" w14:paraId="5AC1DA44" w14:textId="05ED626B">
      <w:pPr>
        <w:numPr>
          <w:ilvl w:val="0"/>
          <w:numId w:val="26"/>
        </w:numPr>
        <w:spacing w:before="60" w:after="60" w:line="276" w:lineRule="auto"/>
        <w:contextualSpacing/>
        <w:rPr>
          <w:rFonts w:ascii="Calibri" w:hAnsi="Calibri" w:eastAsia="Times New Roman" w:cs="Times New Roman"/>
          <w:sz w:val="22"/>
          <w:szCs w:val="22"/>
          <w:lang w:bidi="en-US"/>
        </w:rPr>
      </w:pPr>
      <w:r w:rsidRPr="4162B6B1" w:rsidR="5D47AC1D">
        <w:rPr>
          <w:rFonts w:ascii="Calibri" w:hAnsi="Calibri" w:eastAsia="Times New Roman" w:cs="Times New Roman"/>
          <w:sz w:val="22"/>
          <w:szCs w:val="22"/>
          <w:lang w:bidi="en-US"/>
        </w:rPr>
        <w:t>All responses are local. Local resources are used first, regional resources will be accessed second, state resources third, followed by a federal request as needed. Federal resources may not be available for 72-</w:t>
      </w:r>
      <w:r w:rsidRPr="4162B6B1" w:rsidR="5D47AC1D">
        <w:rPr>
          <w:rFonts w:ascii="Calibri" w:hAnsi="Calibri" w:eastAsia="Times New Roman" w:cs="Times New Roman"/>
          <w:sz w:val="22"/>
          <w:szCs w:val="22"/>
          <w:lang w:bidi="en-US"/>
        </w:rPr>
        <w:t>96 hours (about 4 days)</w:t>
      </w:r>
      <w:r w:rsidRPr="4162B6B1" w:rsidR="5D47AC1D">
        <w:rPr>
          <w:rFonts w:ascii="Calibri" w:hAnsi="Calibri" w:eastAsia="Times New Roman" w:cs="Times New Roman"/>
          <w:sz w:val="22"/>
          <w:szCs w:val="22"/>
          <w:lang w:bidi="en-US"/>
        </w:rPr>
        <w:t xml:space="preserve">. </w:t>
      </w:r>
      <w:r w:rsidRPr="4162B6B1" w:rsidR="5D47AC1D">
        <w:rPr>
          <w:rFonts w:ascii="Calibri" w:hAnsi="Calibri" w:eastAsia="Times New Roman" w:cs="Times New Roman"/>
          <w:sz w:val="22"/>
          <w:szCs w:val="22"/>
          <w:lang w:bidi="en-US"/>
        </w:rPr>
        <w:t>Members will coordinate their needs with jurisdictional EOC who may defer medical needs to the CMHPC.</w:t>
      </w:r>
    </w:p>
    <w:p w:rsidRPr="00822CFC" w:rsidR="00822CFC" w:rsidP="00B63DED" w:rsidRDefault="00822CFC" w14:paraId="59DF5784" w14:textId="77777777">
      <w:pPr>
        <w:numPr>
          <w:ilvl w:val="0"/>
          <w:numId w:val="26"/>
        </w:numPr>
        <w:spacing w:before="60" w:after="60" w:line="276" w:lineRule="auto"/>
        <w:contextualSpacing/>
        <w:rPr>
          <w:rFonts w:ascii="Calibri" w:hAnsi="Calibri" w:eastAsia="Times New Roman" w:cs="Calibri"/>
          <w:sz w:val="22"/>
          <w:lang w:bidi="en-US"/>
        </w:rPr>
      </w:pPr>
      <w:r w:rsidRPr="00822CFC">
        <w:rPr>
          <w:rFonts w:ascii="Calibri" w:hAnsi="Calibri" w:eastAsia="Times New Roman" w:cs="Times New Roman"/>
          <w:sz w:val="22"/>
          <w:lang w:bidi="en-US"/>
        </w:rPr>
        <w:t>Health care organizations will take internal steps to increase patient capacity and implement surge plans before requesting outside assistance.</w:t>
      </w:r>
      <w:r w:rsidRPr="00822CFC" w:rsidDel="000C13AB">
        <w:rPr>
          <w:rFonts w:ascii="Calibri" w:hAnsi="Calibri" w:eastAsia="Times New Roman" w:cs="Calibri"/>
          <w:sz w:val="22"/>
          <w:lang w:bidi="en-US"/>
        </w:rPr>
        <w:t xml:space="preserve"> </w:t>
      </w:r>
    </w:p>
    <w:p w:rsidRPr="00822CFC" w:rsidR="00822CFC" w:rsidP="00B63DED" w:rsidRDefault="00822CFC" w14:paraId="682D439C" w14:textId="77777777">
      <w:pPr>
        <w:numPr>
          <w:ilvl w:val="0"/>
          <w:numId w:val="26"/>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Impacted facilities will activate their Emergency Operation Plan (EOP) and staffing of their facility operations center.</w:t>
      </w:r>
    </w:p>
    <w:p w:rsidRPr="00822CFC" w:rsidR="00822CFC" w:rsidP="00B63DED" w:rsidRDefault="00822CFC" w14:paraId="2B879DA7" w14:textId="77777777">
      <w:pPr>
        <w:numPr>
          <w:ilvl w:val="0"/>
          <w:numId w:val="26"/>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CMHPC members will report status on situational awareness.</w:t>
      </w:r>
    </w:p>
    <w:p w:rsidRPr="00822CFC" w:rsidR="00822CFC" w:rsidP="00B63DED" w:rsidRDefault="00822CFC" w14:paraId="0CB7CB50" w14:textId="77777777">
      <w:pPr>
        <w:numPr>
          <w:ilvl w:val="0"/>
          <w:numId w:val="26"/>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Processes and procedures outlined in the Plan are designed to support and not supplant any member emergency response efforts.</w:t>
      </w:r>
    </w:p>
    <w:p w:rsidRPr="00822CFC" w:rsidR="00822CFC" w:rsidP="00B63DED" w:rsidRDefault="00822CFC" w14:paraId="01FF8605" w14:textId="77777777">
      <w:pPr>
        <w:numPr>
          <w:ilvl w:val="0"/>
          <w:numId w:val="26"/>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This document is a supplement to each CMHPC member’s or partner’s Emergency Operations Plan that was developed consistent with the National Incident Management System (NIMS).</w:t>
      </w:r>
    </w:p>
    <w:p w:rsidRPr="00822CFC" w:rsidR="00822CFC" w:rsidP="00B63DED" w:rsidRDefault="00822CFC" w14:paraId="42C52C02" w14:textId="77777777">
      <w:pPr>
        <w:numPr>
          <w:ilvl w:val="0"/>
          <w:numId w:val="26"/>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 xml:space="preserve">CMHPC members are expected to maintain the capability to manage emergencies independent of support from the CMHPC. </w:t>
      </w:r>
    </w:p>
    <w:p w:rsidRPr="00822CFC" w:rsidR="00822CFC" w:rsidP="4162B6B1" w:rsidRDefault="00822CFC" w14:paraId="2136196E" w14:textId="3A558CA3">
      <w:pPr>
        <w:numPr>
          <w:ilvl w:val="0"/>
          <w:numId w:val="26"/>
        </w:numPr>
        <w:spacing w:before="60" w:after="60" w:line="276" w:lineRule="auto"/>
        <w:contextualSpacing/>
        <w:rPr>
          <w:rFonts w:ascii="Calibri" w:hAnsi="Calibri" w:eastAsia="Times New Roman" w:cs="Times New Roman"/>
          <w:sz w:val="22"/>
          <w:szCs w:val="22"/>
          <w:lang w:bidi="en-US"/>
        </w:rPr>
      </w:pPr>
      <w:r w:rsidRPr="4162B6B1" w:rsidR="5D47AC1D">
        <w:rPr>
          <w:rFonts w:ascii="Calibri" w:hAnsi="Calibri" w:eastAsia="Times New Roman" w:cs="Times New Roman"/>
          <w:sz w:val="22"/>
          <w:szCs w:val="22"/>
          <w:lang w:bidi="en-US"/>
        </w:rPr>
        <w:t xml:space="preserve">Communications, information, and resource sharing among CMHPC members or partner agencies during a response will be managed </w:t>
      </w:r>
      <w:r w:rsidRPr="4162B6B1" w:rsidR="5D47AC1D">
        <w:rPr>
          <w:rFonts w:ascii="Calibri" w:hAnsi="Calibri" w:eastAsia="Times New Roman" w:cs="Times New Roman"/>
          <w:sz w:val="22"/>
          <w:szCs w:val="22"/>
          <w:lang w:bidi="en-US"/>
        </w:rPr>
        <w:t>in accordance with</w:t>
      </w:r>
      <w:r w:rsidRPr="4162B6B1" w:rsidR="5D47AC1D">
        <w:rPr>
          <w:rFonts w:ascii="Calibri" w:hAnsi="Calibri" w:eastAsia="Times New Roman" w:cs="Times New Roman"/>
          <w:sz w:val="22"/>
          <w:szCs w:val="22"/>
          <w:lang w:bidi="en-US"/>
        </w:rPr>
        <w:t xml:space="preserve"> existing operating procedures, mutual aid, and other agreements</w:t>
      </w:r>
      <w:r w:rsidRPr="4162B6B1" w:rsidR="5D47AC1D">
        <w:rPr>
          <w:rFonts w:ascii="Calibri" w:hAnsi="Calibri" w:eastAsia="Times New Roman" w:cs="Times New Roman"/>
          <w:sz w:val="22"/>
          <w:szCs w:val="22"/>
          <w:lang w:bidi="en-US"/>
        </w:rPr>
        <w:t xml:space="preserve">. </w:t>
      </w:r>
    </w:p>
    <w:p w:rsidR="002E5674" w:rsidP="00B63DED" w:rsidRDefault="002026BA" w14:paraId="4BD5D0E5" w14:textId="77777777">
      <w:pPr>
        <w:pStyle w:val="Heading2"/>
        <w:ind w:left="0"/>
      </w:pPr>
      <w:bookmarkStart w:name="_Toc103411575" w:id="13"/>
      <w:bookmarkStart w:name="_Toc103417365" w:id="14"/>
      <w:r>
        <w:t xml:space="preserve">1.4 </w:t>
      </w:r>
      <w:r>
        <w:tab/>
      </w:r>
      <w:r>
        <w:t>Administrative Support</w:t>
      </w:r>
      <w:bookmarkEnd w:id="13"/>
      <w:bookmarkEnd w:id="14"/>
    </w:p>
    <w:p w:rsidRPr="00437745" w:rsidR="008D5726" w:rsidP="4162B6B1" w:rsidRDefault="00F84646" w14:paraId="64BBB350" w14:textId="33EB1F74">
      <w:pPr>
        <w:spacing w:line="276" w:lineRule="auto"/>
        <w:ind w:left="0"/>
        <w:rPr>
          <w:sz w:val="22"/>
          <w:szCs w:val="22"/>
        </w:rPr>
      </w:pPr>
      <w:r w:rsidRPr="4162B6B1" w:rsidR="4617D4FD">
        <w:rPr>
          <w:sz w:val="22"/>
          <w:szCs w:val="22"/>
        </w:rPr>
        <w:t xml:space="preserve">The CMHPC Regional staff </w:t>
      </w:r>
      <w:r w:rsidRPr="4162B6B1" w:rsidR="4617D4FD">
        <w:rPr>
          <w:sz w:val="22"/>
          <w:szCs w:val="22"/>
        </w:rPr>
        <w:t>are responsible for</w:t>
      </w:r>
      <w:r w:rsidRPr="4162B6B1" w:rsidR="4617D4FD">
        <w:rPr>
          <w:sz w:val="22"/>
          <w:szCs w:val="22"/>
        </w:rPr>
        <w:t xml:space="preserve"> managing and </w:t>
      </w:r>
      <w:r w:rsidRPr="4162B6B1" w:rsidR="4617D4FD">
        <w:rPr>
          <w:sz w:val="22"/>
          <w:szCs w:val="22"/>
        </w:rPr>
        <w:t>maintaining</w:t>
      </w:r>
      <w:r w:rsidRPr="4162B6B1" w:rsidR="4617D4FD">
        <w:rPr>
          <w:sz w:val="22"/>
          <w:szCs w:val="22"/>
        </w:rPr>
        <w:t xml:space="preserve"> the response plan. The </w:t>
      </w:r>
      <w:r w:rsidRPr="4162B6B1" w:rsidR="4D380654">
        <w:rPr>
          <w:sz w:val="22"/>
          <w:szCs w:val="22"/>
        </w:rPr>
        <w:t>initial</w:t>
      </w:r>
      <w:r w:rsidRPr="4162B6B1" w:rsidR="4D380654">
        <w:rPr>
          <w:sz w:val="22"/>
          <w:szCs w:val="22"/>
        </w:rPr>
        <w:t xml:space="preserve"> </w:t>
      </w:r>
      <w:r w:rsidRPr="4162B6B1" w:rsidR="4617D4FD">
        <w:rPr>
          <w:sz w:val="22"/>
          <w:szCs w:val="22"/>
        </w:rPr>
        <w:t>Response Plan is approved by the coalitions advisory committee. Utilizing lessons learned in responses and training as well as adapting to the Assistant Secretary for Preparedness and Response (ASPR) grant guidelines, any changes to the plan will require approval of the coalition advisory committee</w:t>
      </w:r>
      <w:r w:rsidRPr="4162B6B1" w:rsidR="4617D4FD">
        <w:rPr>
          <w:sz w:val="22"/>
          <w:szCs w:val="22"/>
        </w:rPr>
        <w:t xml:space="preserve">. </w:t>
      </w:r>
      <w:r w:rsidRPr="4162B6B1" w:rsidR="2B5A0356">
        <w:rPr>
          <w:sz w:val="22"/>
          <w:szCs w:val="22"/>
        </w:rPr>
        <w:t>All revisions and changes will be track</w:t>
      </w:r>
      <w:r w:rsidRPr="4162B6B1" w:rsidR="2B5A0356">
        <w:rPr>
          <w:sz w:val="22"/>
          <w:szCs w:val="22"/>
        </w:rPr>
        <w:t xml:space="preserve">ed </w:t>
      </w:r>
      <w:r w:rsidRPr="4162B6B1" w:rsidR="1E9FCC5D">
        <w:rPr>
          <w:sz w:val="22"/>
          <w:szCs w:val="22"/>
        </w:rPr>
        <w:t>utiliz</w:t>
      </w:r>
      <w:r w:rsidRPr="4162B6B1" w:rsidR="1E9FCC5D">
        <w:rPr>
          <w:sz w:val="22"/>
          <w:szCs w:val="22"/>
        </w:rPr>
        <w:t>ing</w:t>
      </w:r>
      <w:r w:rsidRPr="4162B6B1" w:rsidR="1E9FCC5D">
        <w:rPr>
          <w:sz w:val="22"/>
          <w:szCs w:val="22"/>
        </w:rPr>
        <w:t xml:space="preserve"> the table</w:t>
      </w:r>
      <w:r w:rsidRPr="4162B6B1" w:rsidR="73B71C40">
        <w:rPr>
          <w:sz w:val="22"/>
          <w:szCs w:val="22"/>
        </w:rPr>
        <w:t xml:space="preserve"> </w:t>
      </w:r>
      <w:r w:rsidRPr="4162B6B1" w:rsidR="4AA8AC89">
        <w:rPr>
          <w:sz w:val="22"/>
          <w:szCs w:val="22"/>
        </w:rPr>
        <w:t xml:space="preserve">at the end of this document. </w:t>
      </w:r>
      <w:r w:rsidRPr="4162B6B1" w:rsidR="1E9FCC5D">
        <w:rPr>
          <w:sz w:val="22"/>
          <w:szCs w:val="22"/>
        </w:rPr>
        <w:t>T</w:t>
      </w:r>
      <w:r w:rsidRPr="4162B6B1" w:rsidR="4617D4FD">
        <w:rPr>
          <w:sz w:val="22"/>
          <w:szCs w:val="22"/>
        </w:rPr>
        <w:t>he plan will be distributed to all members as well as be posted on the coalition website</w:t>
      </w:r>
      <w:r w:rsidRPr="4162B6B1" w:rsidR="4617D4FD">
        <w:rPr>
          <w:sz w:val="22"/>
          <w:szCs w:val="22"/>
        </w:rPr>
        <w:t xml:space="preserve">. </w:t>
      </w:r>
      <w:r w:rsidRPr="4162B6B1" w:rsidR="4617D4FD">
        <w:rPr>
          <w:sz w:val="22"/>
          <w:szCs w:val="22"/>
        </w:rPr>
        <w:t xml:space="preserve">The review process will be conducted during the first quarter of each grant period. </w:t>
      </w:r>
    </w:p>
    <w:p w:rsidRPr="00437745" w:rsidR="00822CFC" w:rsidP="00F81909" w:rsidRDefault="00822CFC" w14:paraId="1691EE19" w14:textId="77777777">
      <w:pPr>
        <w:spacing w:line="276" w:lineRule="auto"/>
        <w:rPr>
          <w:sz w:val="22"/>
        </w:rPr>
      </w:pPr>
    </w:p>
    <w:p w:rsidR="00DA5B0C" w:rsidP="00822CFC" w:rsidRDefault="006217DC" w14:paraId="0FDAE0E7" w14:textId="6C2EB7EB">
      <w:pPr>
        <w:pStyle w:val="Heading1"/>
        <w:numPr>
          <w:ilvl w:val="0"/>
          <w:numId w:val="25"/>
        </w:numPr>
        <w:spacing w:before="0"/>
      </w:pPr>
      <w:bookmarkStart w:name="_Toc103411576" w:id="15"/>
      <w:bookmarkStart w:name="_Toc103417366" w:id="16"/>
      <w:bookmarkEnd w:id="2"/>
      <w:bookmarkEnd w:id="10"/>
      <w:r>
        <w:t>Concept of Operations</w:t>
      </w:r>
      <w:bookmarkEnd w:id="15"/>
      <w:bookmarkEnd w:id="16"/>
    </w:p>
    <w:p w:rsidRPr="00822CFC" w:rsidR="00822CFC" w:rsidP="00822CFC" w:rsidRDefault="00822CFC" w14:paraId="56EFFB94" w14:textId="77777777">
      <w:pPr>
        <w:autoSpaceDE w:val="0"/>
        <w:autoSpaceDN w:val="0"/>
        <w:adjustRightInd w:val="0"/>
        <w:spacing w:before="0" w:line="276" w:lineRule="auto"/>
        <w:ind w:left="0"/>
        <w:rPr>
          <w:rFonts w:ascii="Calibri" w:hAnsi="Calibri" w:eastAsia="Times New Roman" w:cs="Calibri"/>
          <w:sz w:val="22"/>
          <w:lang w:bidi="en-US"/>
        </w:rPr>
      </w:pPr>
      <w:r w:rsidRPr="00822CFC">
        <w:rPr>
          <w:rFonts w:ascii="Calibri" w:hAnsi="Calibri" w:eastAsia="Times New Roman" w:cs="Calibri"/>
          <w:sz w:val="22"/>
          <w:lang w:bidi="en-US"/>
        </w:rPr>
        <w:t>Minnesota health and medical facilities have a long history of working together, including regional emergency preparedness planning. CMHPC regional planning coordinated the purchase of equipment, joint training and exercises, plan writing, and resource level assessment and acquisition. The CMHPC utilizes a Health Care Multi-Agency Coordination (HMAC) group structure during responses. State and regional health care coalition response coordination occurred for:</w:t>
      </w:r>
    </w:p>
    <w:p w:rsidRPr="00822CFC" w:rsidR="00822CFC" w:rsidP="00822CFC" w:rsidRDefault="00822CFC" w14:paraId="4F934B95" w14:textId="77777777">
      <w:pPr>
        <w:numPr>
          <w:ilvl w:val="0"/>
          <w:numId w:val="27"/>
        </w:numPr>
        <w:spacing w:before="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SARS preparedness – 2002</w:t>
      </w:r>
    </w:p>
    <w:p w:rsidRPr="00822CFC" w:rsidR="00822CFC" w:rsidP="00822CFC" w:rsidRDefault="00822CFC" w14:paraId="60C785C4" w14:textId="77777777">
      <w:pPr>
        <w:numPr>
          <w:ilvl w:val="0"/>
          <w:numId w:val="27"/>
        </w:numPr>
        <w:spacing w:before="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Operation Northern Comfort (Katrina) – 2005</w:t>
      </w:r>
    </w:p>
    <w:p w:rsidRPr="00822CFC" w:rsidR="00822CFC" w:rsidP="00822CFC" w:rsidRDefault="00822CFC" w14:paraId="6163ACF5" w14:textId="77777777">
      <w:pPr>
        <w:numPr>
          <w:ilvl w:val="0"/>
          <w:numId w:val="27"/>
        </w:numPr>
        <w:spacing w:before="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Flooding – 2006, 2007, 2008, 2009, 2011, 2016, 2018</w:t>
      </w:r>
    </w:p>
    <w:p w:rsidRPr="00822CFC" w:rsidR="00822CFC" w:rsidP="00822CFC" w:rsidRDefault="00822CFC" w14:paraId="47EF1D67" w14:textId="77777777">
      <w:pPr>
        <w:numPr>
          <w:ilvl w:val="0"/>
          <w:numId w:val="27"/>
        </w:numPr>
        <w:spacing w:before="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Wadena Tornado - 2010</w:t>
      </w:r>
    </w:p>
    <w:p w:rsidRPr="00822CFC" w:rsidR="00822CFC" w:rsidP="00822CFC" w:rsidRDefault="00822CFC" w14:paraId="3B47CF8F" w14:textId="77777777">
      <w:pPr>
        <w:numPr>
          <w:ilvl w:val="0"/>
          <w:numId w:val="27"/>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lastRenderedPageBreak/>
        <w:t>H1N1 – 2010</w:t>
      </w:r>
    </w:p>
    <w:p w:rsidRPr="00822CFC" w:rsidR="00822CFC" w:rsidP="00822CFC" w:rsidRDefault="00822CFC" w14:paraId="4CF2844E" w14:textId="77777777">
      <w:pPr>
        <w:numPr>
          <w:ilvl w:val="0"/>
          <w:numId w:val="27"/>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State Government Shutdown - 2011</w:t>
      </w:r>
    </w:p>
    <w:p w:rsidRPr="00822CFC" w:rsidR="00822CFC" w:rsidP="00822CFC" w:rsidRDefault="00822CFC" w14:paraId="0ECA78A2" w14:textId="77777777">
      <w:pPr>
        <w:numPr>
          <w:ilvl w:val="0"/>
          <w:numId w:val="27"/>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Ebola virus readiness – 2014</w:t>
      </w:r>
    </w:p>
    <w:p w:rsidRPr="00822CFC" w:rsidR="00822CFC" w:rsidP="00822CFC" w:rsidRDefault="00822CFC" w14:paraId="08829F98" w14:textId="77777777">
      <w:pPr>
        <w:numPr>
          <w:ilvl w:val="0"/>
          <w:numId w:val="27"/>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COVID-19 Outbreak - 2020</w:t>
      </w:r>
    </w:p>
    <w:p w:rsidRPr="00822CFC" w:rsidR="00822CFC" w:rsidP="00822CFC" w:rsidRDefault="00822CFC" w14:paraId="16313B4D" w14:textId="77777777">
      <w:pPr>
        <w:numPr>
          <w:ilvl w:val="0"/>
          <w:numId w:val="27"/>
        </w:numPr>
        <w:spacing w:before="60" w:after="60" w:line="276" w:lineRule="auto"/>
        <w:contextualSpacing/>
        <w:rPr>
          <w:rFonts w:ascii="Calibri" w:hAnsi="Calibri" w:eastAsia="Times New Roman" w:cs="Times New Roman"/>
          <w:sz w:val="22"/>
          <w:lang w:bidi="en-US"/>
        </w:rPr>
      </w:pPr>
      <w:r w:rsidRPr="00822CFC">
        <w:rPr>
          <w:rFonts w:ascii="Calibri" w:hAnsi="Calibri" w:eastAsia="Times New Roman" w:cs="Times New Roman"/>
          <w:sz w:val="22"/>
          <w:lang w:bidi="en-US"/>
        </w:rPr>
        <w:t>Ongoing training, exercising, and workshops</w:t>
      </w:r>
    </w:p>
    <w:p w:rsidRPr="00822CFC" w:rsidR="00822CFC" w:rsidP="00822CFC" w:rsidRDefault="00822CFC" w14:paraId="79BCAB79" w14:textId="77777777">
      <w:pPr>
        <w:autoSpaceDE w:val="0"/>
        <w:autoSpaceDN w:val="0"/>
        <w:adjustRightInd w:val="0"/>
        <w:spacing w:before="120" w:line="276" w:lineRule="auto"/>
        <w:ind w:left="0"/>
        <w:rPr>
          <w:rFonts w:ascii="Calibri" w:hAnsi="Calibri" w:eastAsia="Times New Roman" w:cs="Calibri"/>
          <w:sz w:val="22"/>
          <w:lang w:bidi="en-US"/>
        </w:rPr>
      </w:pPr>
      <w:r w:rsidRPr="00822CFC">
        <w:rPr>
          <w:rFonts w:ascii="Calibri" w:hAnsi="Calibri" w:eastAsia="Times New Roman" w:cs="Calibri"/>
          <w:sz w:val="22"/>
          <w:lang w:bidi="en-US"/>
        </w:rPr>
        <w:t xml:space="preserve">Membership and governance structure of the CMHPC can be found in the CMHPC Preparedness Plan and the Central West Central website at: </w:t>
      </w:r>
      <w:hyperlink w:history="1" r:id="rId16">
        <w:r w:rsidRPr="00822CFC">
          <w:rPr>
            <w:rFonts w:ascii="Calibri" w:hAnsi="Calibri" w:eastAsia="Times New Roman" w:cs="Times New Roman"/>
            <w:color w:val="6B9F25"/>
            <w:sz w:val="22"/>
            <w:u w:val="single"/>
            <w:lang w:bidi="en-US"/>
          </w:rPr>
          <w:t>https://www.cwchealthcarecoalitions.org/login/</w:t>
        </w:r>
      </w:hyperlink>
      <w:r w:rsidRPr="00822CFC">
        <w:rPr>
          <w:rFonts w:ascii="Calibri" w:hAnsi="Calibri" w:eastAsia="Times New Roman" w:cs="Times New Roman"/>
          <w:color w:val="6B9F25"/>
          <w:sz w:val="22"/>
          <w:u w:val="single"/>
          <w:lang w:bidi="en-US"/>
        </w:rPr>
        <w:t>.</w:t>
      </w:r>
    </w:p>
    <w:p w:rsidRPr="00822CFC" w:rsidR="00822CFC" w:rsidP="00822CFC" w:rsidRDefault="00822CFC" w14:paraId="6E847FFB" w14:textId="77777777">
      <w:pPr>
        <w:ind w:left="0"/>
      </w:pPr>
    </w:p>
    <w:p w:rsidR="006217DC" w:rsidP="00B63DED" w:rsidRDefault="006217DC" w14:paraId="5AF2B36A" w14:textId="77777777">
      <w:pPr>
        <w:pStyle w:val="Heading2"/>
        <w:ind w:left="0"/>
      </w:pPr>
      <w:bookmarkStart w:name="_Toc103411577" w:id="17"/>
      <w:bookmarkStart w:name="_Toc103417367" w:id="18"/>
      <w:r>
        <w:t>2.1 Introduction</w:t>
      </w:r>
      <w:bookmarkEnd w:id="17"/>
      <w:bookmarkEnd w:id="18"/>
    </w:p>
    <w:p w:rsidRPr="00437745" w:rsidR="002D353C" w:rsidP="4162B6B1" w:rsidRDefault="002D353C" w14:paraId="2BD9DDDF" w14:textId="3B4DD8EB">
      <w:pPr>
        <w:spacing w:line="276" w:lineRule="auto"/>
        <w:ind w:left="0"/>
        <w:rPr>
          <w:sz w:val="22"/>
          <w:szCs w:val="22"/>
        </w:rPr>
      </w:pPr>
      <w:r w:rsidRPr="4162B6B1" w:rsidR="4430470F">
        <w:rPr>
          <w:sz w:val="22"/>
          <w:szCs w:val="22"/>
        </w:rPr>
        <w:t>This document outlines the functions of the Central Minnesota Healthcare Preparedness Coalition (CMHPC)</w:t>
      </w:r>
      <w:r w:rsidRPr="4162B6B1" w:rsidR="3524667E">
        <w:rPr>
          <w:sz w:val="22"/>
          <w:szCs w:val="22"/>
        </w:rPr>
        <w:t xml:space="preserve"> in a response, and the potential for activation of the </w:t>
      </w:r>
      <w:r w:rsidRPr="4162B6B1" w:rsidR="4430470F">
        <w:rPr>
          <w:sz w:val="22"/>
          <w:szCs w:val="22"/>
        </w:rPr>
        <w:t>Healthcare Multi-Agency Coordination (HMAC)</w:t>
      </w:r>
      <w:r w:rsidRPr="4162B6B1" w:rsidR="4430470F">
        <w:rPr>
          <w:sz w:val="22"/>
          <w:szCs w:val="22"/>
        </w:rPr>
        <w:t xml:space="preserve">. </w:t>
      </w:r>
      <w:r w:rsidRPr="4162B6B1" w:rsidR="4430470F">
        <w:rPr>
          <w:sz w:val="22"/>
          <w:szCs w:val="22"/>
        </w:rPr>
        <w:t xml:space="preserve">The CMHPC provides logistical support for </w:t>
      </w:r>
      <w:r w:rsidRPr="4162B6B1" w:rsidR="4ACAE701">
        <w:rPr>
          <w:sz w:val="22"/>
          <w:szCs w:val="22"/>
        </w:rPr>
        <w:t>Central</w:t>
      </w:r>
      <w:r w:rsidRPr="4162B6B1" w:rsidR="4430470F">
        <w:rPr>
          <w:sz w:val="22"/>
          <w:szCs w:val="22"/>
        </w:rPr>
        <w:t xml:space="preserve"> Region Hospitals </w:t>
      </w:r>
      <w:r w:rsidRPr="4162B6B1" w:rsidR="574AFAC2">
        <w:rPr>
          <w:sz w:val="22"/>
          <w:szCs w:val="22"/>
        </w:rPr>
        <w:t xml:space="preserve">and health care facilities </w:t>
      </w:r>
      <w:r w:rsidRPr="4162B6B1" w:rsidR="4430470F">
        <w:rPr>
          <w:sz w:val="22"/>
          <w:szCs w:val="22"/>
        </w:rPr>
        <w:t>unable to coordinate among themselves, and to integrate with local emergency management, local public health departments, police, emergency medical services, and the Minnesota Department of Health during the response</w:t>
      </w:r>
      <w:r w:rsidRPr="4162B6B1" w:rsidR="4430470F">
        <w:rPr>
          <w:sz w:val="22"/>
          <w:szCs w:val="22"/>
        </w:rPr>
        <w:t xml:space="preserve">. </w:t>
      </w:r>
      <w:r w:rsidRPr="4162B6B1" w:rsidR="684AE6E6">
        <w:rPr>
          <w:sz w:val="22"/>
          <w:szCs w:val="22"/>
        </w:rPr>
        <w:t>Activation of the HMAC is event driven</w:t>
      </w:r>
      <w:r w:rsidRPr="4162B6B1" w:rsidR="684AE6E6">
        <w:rPr>
          <w:sz w:val="22"/>
          <w:szCs w:val="22"/>
        </w:rPr>
        <w:t xml:space="preserve">. </w:t>
      </w:r>
      <w:r w:rsidRPr="4162B6B1" w:rsidR="721B65B4">
        <w:rPr>
          <w:sz w:val="22"/>
          <w:szCs w:val="22"/>
        </w:rPr>
        <w:t>Minor events may only require a Regional Response</w:t>
      </w:r>
      <w:r w:rsidRPr="4162B6B1" w:rsidR="519DE8A1">
        <w:rPr>
          <w:sz w:val="22"/>
          <w:szCs w:val="22"/>
        </w:rPr>
        <w:t xml:space="preserve"> that can be handled by coalition staff, the Regional Health Care </w:t>
      </w:r>
      <w:r w:rsidRPr="4162B6B1" w:rsidR="0A466699">
        <w:rPr>
          <w:sz w:val="22"/>
          <w:szCs w:val="22"/>
        </w:rPr>
        <w:t>Coordinator,</w:t>
      </w:r>
      <w:r w:rsidRPr="4162B6B1" w:rsidR="519DE8A1">
        <w:rPr>
          <w:sz w:val="22"/>
          <w:szCs w:val="22"/>
        </w:rPr>
        <w:t xml:space="preserve"> and the Public Health Preparedness Consultant. Larger scale incidents may require more support and complete activation of the HMAC process. </w:t>
      </w:r>
      <w:r w:rsidRPr="4162B6B1" w:rsidR="4430470F">
        <w:rPr>
          <w:sz w:val="22"/>
          <w:szCs w:val="22"/>
        </w:rPr>
        <w:t>Th</w:t>
      </w:r>
      <w:r w:rsidRPr="4162B6B1" w:rsidR="08CA1FD3">
        <w:rPr>
          <w:sz w:val="22"/>
          <w:szCs w:val="22"/>
        </w:rPr>
        <w:t>is d</w:t>
      </w:r>
      <w:r w:rsidRPr="4162B6B1" w:rsidR="4430470F">
        <w:rPr>
          <w:sz w:val="22"/>
          <w:szCs w:val="22"/>
        </w:rPr>
        <w:t xml:space="preserve">ocument </w:t>
      </w:r>
      <w:r w:rsidRPr="4162B6B1" w:rsidR="08CA1FD3">
        <w:rPr>
          <w:sz w:val="22"/>
          <w:szCs w:val="22"/>
        </w:rPr>
        <w:t xml:space="preserve">discusses both the </w:t>
      </w:r>
      <w:r w:rsidRPr="4162B6B1" w:rsidR="4430470F">
        <w:rPr>
          <w:sz w:val="22"/>
          <w:szCs w:val="22"/>
        </w:rPr>
        <w:t>Regional Response and HMAC operations.</w:t>
      </w:r>
      <w:r w:rsidRPr="4162B6B1" w:rsidR="078B6B19">
        <w:rPr>
          <w:sz w:val="22"/>
          <w:szCs w:val="22"/>
        </w:rPr>
        <w:t xml:space="preserve"> </w:t>
      </w:r>
      <w:r>
        <w:br/>
      </w:r>
    </w:p>
    <w:p w:rsidR="002D353C" w:rsidP="00B63DED" w:rsidRDefault="00922D0E" w14:paraId="60219139" w14:textId="77777777">
      <w:pPr>
        <w:pStyle w:val="Heading2"/>
        <w:ind w:left="0"/>
      </w:pPr>
      <w:bookmarkStart w:name="_Toc103411578" w:id="19"/>
      <w:bookmarkStart w:name="_Toc103417368" w:id="20"/>
      <w:r>
        <w:t>2.2 Role of the Coalition in Events</w:t>
      </w:r>
      <w:bookmarkEnd w:id="19"/>
      <w:bookmarkEnd w:id="20"/>
    </w:p>
    <w:p w:rsidRPr="00B63DED" w:rsidR="00B63DED" w:rsidP="00215DA3" w:rsidRDefault="00B63DED" w14:paraId="40461F59" w14:textId="77777777">
      <w:pPr>
        <w:autoSpaceDE w:val="0"/>
        <w:autoSpaceDN w:val="0"/>
        <w:adjustRightInd w:val="0"/>
        <w:spacing w:before="120" w:line="276" w:lineRule="auto"/>
        <w:ind w:left="0"/>
        <w:rPr>
          <w:rFonts w:ascii="Calibri" w:hAnsi="Calibri" w:eastAsia="Times New Roman" w:cs="Calibri"/>
          <w:sz w:val="22"/>
          <w:lang w:bidi="en-US"/>
        </w:rPr>
      </w:pPr>
      <w:r w:rsidRPr="00B63DED">
        <w:rPr>
          <w:rFonts w:ascii="Calibri" w:hAnsi="Calibri" w:eastAsia="Times New Roman" w:cs="Calibri"/>
          <w:sz w:val="22"/>
          <w:lang w:bidi="en-US"/>
        </w:rPr>
        <w:t>The CMHPC HMAC supports the coordination between health care, emergency medical services, public health, emergency management, and other partners for a health-related event or incident to:</w:t>
      </w:r>
    </w:p>
    <w:p w:rsidRPr="00B63DED" w:rsidR="00B63DED" w:rsidP="00215DA3" w:rsidRDefault="00B63DED" w14:paraId="5D2D6874" w14:textId="77777777">
      <w:pPr>
        <w:numPr>
          <w:ilvl w:val="0"/>
          <w:numId w:val="28"/>
        </w:numPr>
        <w:spacing w:before="60" w:after="60" w:line="276" w:lineRule="auto"/>
        <w:contextualSpacing/>
        <w:rPr>
          <w:rFonts w:ascii="Calibri" w:hAnsi="Calibri" w:eastAsia="Times New Roman" w:cs="Times New Roman"/>
          <w:sz w:val="22"/>
          <w:lang w:bidi="en-US"/>
        </w:rPr>
      </w:pPr>
      <w:r w:rsidRPr="00B63DED">
        <w:rPr>
          <w:rFonts w:ascii="Calibri" w:hAnsi="Calibri" w:eastAsia="Times New Roman" w:cs="Times New Roman"/>
          <w:sz w:val="22"/>
          <w:lang w:bidi="en-US"/>
        </w:rPr>
        <w:t>Support incident management ESF-8 priorities with the collaborative effort of multiple agencies.</w:t>
      </w:r>
    </w:p>
    <w:p w:rsidRPr="00B63DED" w:rsidR="00B63DED" w:rsidP="4162B6B1" w:rsidRDefault="00B63DED" w14:paraId="320D2327" w14:textId="48300DAC">
      <w:pPr>
        <w:numPr>
          <w:ilvl w:val="0"/>
          <w:numId w:val="28"/>
        </w:numPr>
        <w:spacing w:before="60" w:after="60" w:line="276" w:lineRule="auto"/>
        <w:contextualSpacing/>
        <w:rPr>
          <w:rFonts w:ascii="Calibri" w:hAnsi="Calibri" w:eastAsia="Times New Roman" w:cs="Times New Roman"/>
          <w:sz w:val="22"/>
          <w:szCs w:val="22"/>
          <w:lang w:bidi="en-US"/>
        </w:rPr>
      </w:pPr>
      <w:r w:rsidRPr="4162B6B1" w:rsidR="4ACAE701">
        <w:rPr>
          <w:rFonts w:ascii="Calibri" w:hAnsi="Calibri" w:eastAsia="Times New Roman" w:cs="Times New Roman"/>
          <w:sz w:val="22"/>
          <w:szCs w:val="22"/>
          <w:lang w:bidi="en-US"/>
        </w:rPr>
        <w:t>Facilitate logistical support, resource-</w:t>
      </w:r>
      <w:r w:rsidRPr="4162B6B1" w:rsidR="4ACAE701">
        <w:rPr>
          <w:rFonts w:ascii="Calibri" w:hAnsi="Calibri" w:eastAsia="Times New Roman" w:cs="Times New Roman"/>
          <w:sz w:val="22"/>
          <w:szCs w:val="22"/>
          <w:lang w:bidi="en-US"/>
        </w:rPr>
        <w:t>tracking,</w:t>
      </w:r>
      <w:r w:rsidRPr="4162B6B1" w:rsidR="4ACAE701">
        <w:rPr>
          <w:rFonts w:ascii="Calibri" w:hAnsi="Calibri" w:eastAsia="Times New Roman" w:cs="Times New Roman"/>
          <w:sz w:val="22"/>
          <w:szCs w:val="22"/>
          <w:lang w:bidi="en-US"/>
        </w:rPr>
        <w:t xml:space="preserve"> and victim tracking/family reunification.</w:t>
      </w:r>
    </w:p>
    <w:p w:rsidRPr="00B63DED" w:rsidR="00B63DED" w:rsidP="00215DA3" w:rsidRDefault="00B63DED" w14:paraId="3D0A500E" w14:textId="77777777">
      <w:pPr>
        <w:numPr>
          <w:ilvl w:val="0"/>
          <w:numId w:val="28"/>
        </w:numPr>
        <w:spacing w:before="60" w:after="60" w:line="276" w:lineRule="auto"/>
        <w:contextualSpacing/>
        <w:rPr>
          <w:rFonts w:ascii="Calibri" w:hAnsi="Calibri" w:eastAsia="Times New Roman" w:cs="Times New Roman"/>
          <w:sz w:val="22"/>
          <w:lang w:bidi="en-US"/>
        </w:rPr>
      </w:pPr>
      <w:r w:rsidRPr="00B63DED">
        <w:rPr>
          <w:rFonts w:ascii="Calibri" w:hAnsi="Calibri" w:eastAsia="Times New Roman" w:cs="Times New Roman"/>
          <w:sz w:val="22"/>
          <w:lang w:bidi="en-US"/>
        </w:rPr>
        <w:t>Coordinate critical medical resource allocation decision-making based on recommendations from local Emergency Operation Centers (EOCs), Emergency Medical Services Multiagency Coordination (EMS MAC), CDC, MDH, and other subject matter experts.</w:t>
      </w:r>
    </w:p>
    <w:p w:rsidRPr="00B63DED" w:rsidR="00B63DED" w:rsidP="00215DA3" w:rsidRDefault="00B63DED" w14:paraId="4FAE0E77" w14:textId="77777777">
      <w:pPr>
        <w:numPr>
          <w:ilvl w:val="0"/>
          <w:numId w:val="28"/>
        </w:numPr>
        <w:spacing w:before="60" w:after="60" w:line="276" w:lineRule="auto"/>
        <w:contextualSpacing/>
        <w:rPr>
          <w:rFonts w:ascii="Calibri" w:hAnsi="Calibri" w:eastAsia="Times New Roman" w:cs="Times New Roman"/>
          <w:sz w:val="22"/>
          <w:lang w:bidi="en-US"/>
        </w:rPr>
      </w:pPr>
      <w:r w:rsidRPr="00B63DED">
        <w:rPr>
          <w:rFonts w:ascii="Calibri" w:hAnsi="Calibri" w:eastAsia="Times New Roman" w:cs="Times New Roman"/>
          <w:sz w:val="22"/>
          <w:lang w:bidi="en-US"/>
        </w:rPr>
        <w:t>Facilitate information sharing and situational awareness among the CMHPC members by using CMHPC resources as outlined in the activation and operations section of the plan.</w:t>
      </w:r>
    </w:p>
    <w:p w:rsidR="00B63DED" w:rsidP="00215DA3" w:rsidRDefault="00B63DED" w14:paraId="636DBBDA" w14:textId="51A407BD">
      <w:pPr>
        <w:numPr>
          <w:ilvl w:val="0"/>
          <w:numId w:val="28"/>
        </w:numPr>
        <w:spacing w:before="60" w:after="60" w:line="276" w:lineRule="auto"/>
        <w:contextualSpacing/>
        <w:rPr>
          <w:rFonts w:ascii="Calibri" w:hAnsi="Calibri" w:eastAsia="Times New Roman" w:cs="Times New Roman"/>
          <w:sz w:val="22"/>
          <w:lang w:bidi="en-US"/>
        </w:rPr>
      </w:pPr>
      <w:r w:rsidRPr="00B63DED">
        <w:rPr>
          <w:rFonts w:ascii="Calibri" w:hAnsi="Calibri" w:eastAsia="Times New Roman" w:cs="Times New Roman"/>
          <w:sz w:val="22"/>
          <w:lang w:bidi="en-US"/>
        </w:rPr>
        <w:t xml:space="preserve">Support health care evacuation activities in collaboration with CMHPC partners. </w:t>
      </w:r>
    </w:p>
    <w:p w:rsidRPr="00B63DED" w:rsidR="00B63DED" w:rsidP="00B63DED" w:rsidRDefault="00B63DED" w14:paraId="1CC9CF7B" w14:textId="77777777">
      <w:pPr>
        <w:spacing w:before="60" w:after="60" w:line="240" w:lineRule="auto"/>
        <w:ind w:left="720"/>
        <w:contextualSpacing/>
        <w:rPr>
          <w:rFonts w:ascii="Calibri" w:hAnsi="Calibri" w:eastAsia="Times New Roman" w:cs="Times New Roman"/>
          <w:sz w:val="22"/>
          <w:lang w:bidi="en-US"/>
        </w:rPr>
      </w:pPr>
    </w:p>
    <w:p w:rsidR="000B4630" w:rsidP="00261652" w:rsidRDefault="000B4630" w14:paraId="6BB5F239" w14:textId="77777777">
      <w:pPr>
        <w:pStyle w:val="Heading3"/>
      </w:pPr>
      <w:bookmarkStart w:name="_Toc103411579" w:id="21"/>
      <w:bookmarkStart w:name="_Toc103417369" w:id="22"/>
      <w:r>
        <w:t>2.2.1 Member Roles and Responsibilities</w:t>
      </w:r>
      <w:bookmarkEnd w:id="21"/>
      <w:bookmarkEnd w:id="22"/>
    </w:p>
    <w:p w:rsidRPr="00EC4DBE" w:rsidR="00EC4DBE" w:rsidP="00EC4DBE" w:rsidRDefault="00EC4DBE" w14:paraId="2AA878DE" w14:textId="77777777">
      <w:pPr>
        <w:spacing w:before="120" w:line="276" w:lineRule="auto"/>
        <w:ind w:left="720"/>
        <w:rPr>
          <w:rFonts w:ascii="Calibri" w:hAnsi="Calibri" w:eastAsia="Times New Roman" w:cs="Calibri"/>
          <w:color w:val="FF0000"/>
          <w:sz w:val="22"/>
          <w:lang w:bidi="en-US"/>
        </w:rPr>
      </w:pPr>
      <w:r w:rsidRPr="00EC4DBE">
        <w:rPr>
          <w:rFonts w:ascii="Calibri" w:hAnsi="Calibri" w:eastAsia="Times New Roman" w:cs="Calibri"/>
          <w:sz w:val="22"/>
          <w:lang w:bidi="en-US"/>
        </w:rPr>
        <w:t xml:space="preserve">Each supporting agency has signed a letter of intent stating they agree to facilitate integrated planning, response, and recovery activities critical to an effective response to an event or emergency with public health and medical implications in the Central Region area. </w:t>
      </w:r>
    </w:p>
    <w:p w:rsidRPr="00EC4DBE" w:rsidR="00EC4DBE" w:rsidP="00EC4DBE" w:rsidRDefault="00EC4DBE" w14:paraId="1C31A269" w14:textId="77777777">
      <w:pPr>
        <w:spacing w:before="120" w:after="120" w:line="276" w:lineRule="auto"/>
        <w:ind w:left="720"/>
        <w:rPr>
          <w:rFonts w:ascii="Calibri" w:hAnsi="Calibri" w:eastAsia="Times New Roman" w:cs="Calibri"/>
          <w:sz w:val="22"/>
          <w:lang w:bidi="en-US"/>
        </w:rPr>
      </w:pPr>
      <w:r w:rsidRPr="00EC4DBE">
        <w:rPr>
          <w:rFonts w:ascii="Calibri" w:hAnsi="Calibri" w:eastAsia="Times New Roman" w:cs="Calibri"/>
          <w:sz w:val="22"/>
          <w:lang w:bidi="en-US"/>
        </w:rPr>
        <w:t>CMHPC members agree to support health and medical response and recovery within the parameters of statutory requirements, jurisdictional Emergency Operations Plans (EOPs), and as outlined in the bylaws, and memorandum of understanding (MOU). The agreements include:</w:t>
      </w:r>
    </w:p>
    <w:p w:rsidRPr="00EC4DBE" w:rsidR="00EC4DBE" w:rsidP="00437745" w:rsidRDefault="00EC4DBE" w14:paraId="37304DBE" w14:textId="77777777">
      <w:pPr>
        <w:numPr>
          <w:ilvl w:val="0"/>
          <w:numId w:val="29"/>
        </w:numPr>
        <w:spacing w:before="0" w:after="120" w:line="240" w:lineRule="auto"/>
        <w:ind w:left="1440"/>
        <w:rPr>
          <w:rFonts w:ascii="Calibri" w:hAnsi="Calibri" w:eastAsia="Times New Roman" w:cs="Calibri"/>
          <w:color w:val="000000"/>
          <w:sz w:val="22"/>
          <w:lang w:bidi="en-US"/>
        </w:rPr>
      </w:pPr>
      <w:r w:rsidRPr="00EC4DBE">
        <w:rPr>
          <w:rFonts w:ascii="Calibri" w:hAnsi="Calibri" w:eastAsia="Times New Roman" w:cs="Calibri"/>
          <w:sz w:val="22"/>
          <w:lang w:bidi="en-US"/>
        </w:rPr>
        <w:lastRenderedPageBreak/>
        <w:t>Providing regional coordination of planning, training, and exercising for health and medical entities.</w:t>
      </w:r>
    </w:p>
    <w:p w:rsidRPr="00EC4DBE" w:rsidR="00EC4DBE" w:rsidP="00437745" w:rsidRDefault="00EC4DBE" w14:paraId="53234352" w14:textId="77777777">
      <w:pPr>
        <w:numPr>
          <w:ilvl w:val="0"/>
          <w:numId w:val="29"/>
        </w:numPr>
        <w:spacing w:before="0" w:after="120" w:line="240" w:lineRule="auto"/>
        <w:ind w:left="1440"/>
        <w:rPr>
          <w:rFonts w:ascii="Calibri" w:hAnsi="Calibri" w:eastAsia="Times New Roman" w:cs="Calibri"/>
          <w:sz w:val="22"/>
          <w:lang w:bidi="en-US"/>
        </w:rPr>
      </w:pPr>
      <w:r w:rsidRPr="00EC4DBE">
        <w:rPr>
          <w:rFonts w:ascii="Calibri" w:hAnsi="Calibri" w:eastAsia="Times New Roman" w:cs="Calibri"/>
          <w:sz w:val="22"/>
          <w:lang w:bidi="en-US"/>
        </w:rPr>
        <w:t xml:space="preserve">Providing health and medical situational information to support a regionally coordinated response. </w:t>
      </w:r>
    </w:p>
    <w:p w:rsidRPr="00EC4DBE" w:rsidR="00EC4DBE" w:rsidP="00437745" w:rsidRDefault="00EC4DBE" w14:paraId="0ADA7DB4" w14:textId="77777777">
      <w:pPr>
        <w:numPr>
          <w:ilvl w:val="0"/>
          <w:numId w:val="29"/>
        </w:numPr>
        <w:spacing w:before="0" w:after="120" w:line="240" w:lineRule="auto"/>
        <w:ind w:left="1440"/>
        <w:rPr>
          <w:rFonts w:eastAsia="Times New Roman" w:cstheme="minorHAnsi"/>
          <w:sz w:val="22"/>
          <w:lang w:bidi="en-US"/>
        </w:rPr>
      </w:pPr>
      <w:r w:rsidRPr="00EC4DBE">
        <w:rPr>
          <w:rFonts w:eastAsia="Times New Roman" w:cstheme="minorHAnsi"/>
          <w:sz w:val="22"/>
          <w:lang w:bidi="en-US"/>
        </w:rPr>
        <w:t>Facilitating health and medical resource sharing through HMAC coordination.</w:t>
      </w:r>
    </w:p>
    <w:p w:rsidRPr="00EC4DBE" w:rsidR="00EC4DBE" w:rsidP="00437745" w:rsidRDefault="00EC4DBE" w14:paraId="25866121" w14:textId="728C2807">
      <w:pPr>
        <w:pStyle w:val="ListParagraph"/>
        <w:numPr>
          <w:ilvl w:val="0"/>
          <w:numId w:val="37"/>
        </w:numPr>
        <w:spacing w:line="240" w:lineRule="auto"/>
        <w:rPr>
          <w:rFonts w:ascii="Calibri" w:hAnsi="Calibri" w:eastAsia="Times New Roman" w:cs="Calibri"/>
          <w:sz w:val="22"/>
          <w:lang w:bidi="en-US"/>
        </w:rPr>
      </w:pPr>
      <w:r w:rsidRPr="00EC4DBE">
        <w:rPr>
          <w:sz w:val="22"/>
        </w:rPr>
        <w:t>Addressing the appropriate capability targets as defined by emergency management, public health, and health care.</w:t>
      </w:r>
      <w:bookmarkStart w:name="_Toc7085090" w:id="23"/>
      <w:bookmarkStart w:name="_Toc99650020" w:id="24"/>
      <w:r w:rsidRPr="00EC4DBE">
        <w:rPr>
          <w:sz w:val="22"/>
        </w:rPr>
        <w:br/>
      </w:r>
    </w:p>
    <w:p w:rsidRPr="00EC4DBE" w:rsidR="00EC4DBE" w:rsidP="00261652" w:rsidRDefault="00EC4DBE" w14:paraId="3BF17F5B" w14:textId="45308C88">
      <w:pPr>
        <w:pStyle w:val="Heading4"/>
        <w:rPr>
          <w:rFonts w:eastAsia="Times New Roman"/>
          <w:lang w:bidi="en-US"/>
        </w:rPr>
      </w:pPr>
      <w:bookmarkStart w:name="_Toc103417370" w:id="25"/>
      <w:r w:rsidRPr="00EC4DBE">
        <w:rPr>
          <w:rFonts w:eastAsia="Times New Roman"/>
          <w:lang w:bidi="en-US"/>
        </w:rPr>
        <w:t>Emergency Medical Services</w:t>
      </w:r>
      <w:bookmarkEnd w:id="23"/>
      <w:bookmarkEnd w:id="24"/>
      <w:bookmarkEnd w:id="25"/>
    </w:p>
    <w:p w:rsidRPr="00EC4DBE" w:rsidR="00EC4DBE" w:rsidP="4162B6B1" w:rsidRDefault="00EC4DBE" w14:paraId="3AAF9CE7" w14:textId="6AAE1D94">
      <w:pPr>
        <w:spacing w:before="120" w:after="120" w:line="276" w:lineRule="auto"/>
        <w:ind w:left="720"/>
        <w:rPr>
          <w:rFonts w:ascii="Calibri" w:hAnsi="Calibri" w:eastAsia="Times New Roman" w:cs="Times New Roman"/>
          <w:sz w:val="22"/>
          <w:szCs w:val="22"/>
          <w:lang w:bidi="en-US"/>
        </w:rPr>
      </w:pPr>
      <w:r w:rsidRPr="4162B6B1" w:rsidR="1224F0D9">
        <w:rPr>
          <w:rFonts w:ascii="Calibri" w:hAnsi="Calibri" w:eastAsia="Times New Roman" w:cs="Times New Roman"/>
          <w:sz w:val="22"/>
          <w:szCs w:val="22"/>
          <w:lang w:bidi="en-US"/>
        </w:rPr>
        <w:t xml:space="preserve">Twenty-four emergency medical services (EMS) agencies in the Central Region </w:t>
      </w:r>
      <w:r w:rsidRPr="4162B6B1" w:rsidR="1224F0D9">
        <w:rPr>
          <w:rFonts w:ascii="Calibri" w:hAnsi="Calibri" w:eastAsia="Times New Roman" w:cs="Times New Roman"/>
          <w:sz w:val="22"/>
          <w:szCs w:val="22"/>
          <w:lang w:bidi="en-US"/>
        </w:rPr>
        <w:t>provide</w:t>
      </w:r>
      <w:r w:rsidRPr="4162B6B1" w:rsidR="1224F0D9">
        <w:rPr>
          <w:rFonts w:ascii="Calibri" w:hAnsi="Calibri" w:eastAsia="Times New Roman" w:cs="Times New Roman"/>
          <w:sz w:val="22"/>
          <w:szCs w:val="22"/>
          <w:lang w:bidi="en-US"/>
        </w:rPr>
        <w:t xml:space="preserve"> 911 response, treatment, and transportation. EMS agencies use a common incident response plan for consistency of framework and terminology. Each EMS agency has an individual dispatch center for coordinating response. During a major incident, an EMS Multi-Agency Coordination Center (EMS MACC) may be </w:t>
      </w:r>
      <w:r w:rsidRPr="4162B6B1" w:rsidR="1224F0D9">
        <w:rPr>
          <w:rFonts w:ascii="Calibri" w:hAnsi="Calibri" w:eastAsia="Times New Roman" w:cs="Times New Roman"/>
          <w:sz w:val="22"/>
          <w:szCs w:val="22"/>
          <w:lang w:bidi="en-US"/>
        </w:rPr>
        <w:t>established</w:t>
      </w:r>
      <w:r w:rsidRPr="4162B6B1" w:rsidR="1224F0D9">
        <w:rPr>
          <w:rFonts w:ascii="Calibri" w:hAnsi="Calibri" w:eastAsia="Times New Roman" w:cs="Times New Roman"/>
          <w:sz w:val="22"/>
          <w:szCs w:val="22"/>
          <w:lang w:bidi="en-US"/>
        </w:rPr>
        <w:t xml:space="preserve"> to support logistical and operational needs with the region</w:t>
      </w:r>
      <w:r w:rsidRPr="4162B6B1" w:rsidR="1224F0D9">
        <w:rPr>
          <w:rFonts w:ascii="Calibri" w:hAnsi="Calibri" w:eastAsia="Times New Roman" w:cs="Times New Roman"/>
          <w:sz w:val="22"/>
          <w:szCs w:val="22"/>
          <w:lang w:bidi="en-US"/>
        </w:rPr>
        <w:t xml:space="preserve">. </w:t>
      </w:r>
      <w:r w:rsidRPr="4162B6B1" w:rsidR="1224F0D9">
        <w:rPr>
          <w:rFonts w:ascii="Calibri" w:hAnsi="Calibri" w:eastAsia="Times New Roman" w:cs="Times New Roman"/>
          <w:sz w:val="22"/>
          <w:szCs w:val="22"/>
          <w:lang w:bidi="en-US"/>
        </w:rPr>
        <w:t>During a health incident, EMS agencies, and/or the Regional EMS Coordinator will consider the need to:</w:t>
      </w:r>
    </w:p>
    <w:p w:rsidRPr="00EC4DBE" w:rsidR="00EC4DBE" w:rsidP="00432267" w:rsidRDefault="00EC4DBE" w14:paraId="7E231165"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Notify the RHPC of an incident and/or request the HMAC be activated.</w:t>
      </w:r>
    </w:p>
    <w:p w:rsidRPr="00EC4DBE" w:rsidR="00EC4DBE" w:rsidP="00432267" w:rsidRDefault="00EC4DBE" w14:paraId="225F5AD6"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Communicate situational and resource awareness to the RHPC when requested.</w:t>
      </w:r>
    </w:p>
    <w:p w:rsidRPr="00EC4DBE" w:rsidR="00EC4DBE" w:rsidP="00432267" w:rsidRDefault="00EC4DBE" w14:paraId="3F2C830F"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Coordinate efforts through an EMS MACC.</w:t>
      </w:r>
    </w:p>
    <w:p w:rsidRPr="00EC4DBE" w:rsidR="00EC4DBE" w:rsidP="00432267" w:rsidRDefault="00EC4DBE" w14:paraId="29AC9C95"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Help facilitate the delivery of health and medical services, personnel, and supplies within the region.</w:t>
      </w:r>
    </w:p>
    <w:p w:rsidRPr="00EC4DBE" w:rsidR="00EC4DBE" w:rsidP="00432267" w:rsidRDefault="00EC4DBE" w14:paraId="5DFFDA91"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Collaborate with health care facilities during the request, receipt, and distribution of the strategic national stockpile (SNS) or other state/federal assets.</w:t>
      </w:r>
    </w:p>
    <w:p w:rsidRPr="00EC4DBE" w:rsidR="00EC4DBE" w:rsidP="00432267" w:rsidRDefault="00EC4DBE" w14:paraId="3B70CFBB"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Coordinate/activate and EMS Strike Team.</w:t>
      </w:r>
    </w:p>
    <w:p w:rsidRPr="00EC4DBE" w:rsidR="00EC4DBE" w:rsidP="00432267" w:rsidRDefault="00EC4DBE" w14:paraId="71DE17B7"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Determine EMS asset needs.</w:t>
      </w:r>
    </w:p>
    <w:p w:rsidRPr="00EC4DBE" w:rsidR="00EC4DBE" w:rsidP="00432267" w:rsidRDefault="00EC4DBE" w14:paraId="7040BF10" w14:textId="77777777">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Obtain EMS Essential Elements of Information.</w:t>
      </w:r>
    </w:p>
    <w:p w:rsidRPr="00EC4DBE" w:rsidR="00EC4DBE" w:rsidP="00432267" w:rsidRDefault="00EC4DBE" w14:paraId="7EEEC51D" w14:textId="7941820B">
      <w:pPr>
        <w:numPr>
          <w:ilvl w:val="0"/>
          <w:numId w:val="30"/>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Participate in a health care multi-agency coordination (HMAC) group if activated.</w:t>
      </w:r>
      <w:r w:rsidR="00215DA3">
        <w:rPr>
          <w:rFonts w:ascii="Calibri" w:hAnsi="Calibri" w:eastAsia="Times New Roman" w:cs="Times New Roman"/>
          <w:sz w:val="22"/>
          <w:lang w:bidi="en-US"/>
        </w:rPr>
        <w:br/>
      </w:r>
    </w:p>
    <w:p w:rsidRPr="00EC4DBE" w:rsidR="00EC4DBE" w:rsidP="00261652" w:rsidRDefault="00EC4DBE" w14:paraId="290CF6ED" w14:textId="77777777">
      <w:pPr>
        <w:pStyle w:val="Heading4"/>
        <w:rPr>
          <w:rFonts w:eastAsia="Times New Roman"/>
          <w:lang w:bidi="en-US"/>
        </w:rPr>
      </w:pPr>
      <w:bookmarkStart w:name="_Toc7085091" w:id="26"/>
      <w:bookmarkStart w:name="_Toc99650021" w:id="27"/>
      <w:bookmarkStart w:name="_Toc103417371" w:id="28"/>
      <w:r w:rsidRPr="00EC4DBE">
        <w:rPr>
          <w:rFonts w:eastAsia="Times New Roman"/>
          <w:lang w:bidi="en-US"/>
        </w:rPr>
        <w:t>Hospitals</w:t>
      </w:r>
      <w:bookmarkEnd w:id="26"/>
      <w:bookmarkEnd w:id="27"/>
      <w:bookmarkEnd w:id="28"/>
    </w:p>
    <w:p w:rsidRPr="00EC4DBE" w:rsidR="00EC4DBE" w:rsidP="00432267" w:rsidRDefault="00EC4DBE" w14:paraId="7169B2A5" w14:textId="77777777">
      <w:pPr>
        <w:spacing w:before="120" w:after="120" w:line="276" w:lineRule="auto"/>
        <w:ind w:left="720"/>
        <w:rPr>
          <w:rFonts w:ascii="Calibri" w:hAnsi="Calibri" w:eastAsia="Times New Roman" w:cs="Times New Roman"/>
          <w:sz w:val="22"/>
          <w:lang w:bidi="en-US"/>
        </w:rPr>
      </w:pPr>
      <w:r w:rsidRPr="00EC4DBE">
        <w:rPr>
          <w:rFonts w:ascii="Calibri" w:hAnsi="Calibri" w:eastAsia="Times New Roman" w:cs="Times New Roman"/>
          <w:sz w:val="22"/>
          <w:lang w:bidi="en-US"/>
        </w:rPr>
        <w:t>Each hospital is responsible for maintaining facility surge capacity plans. When the facility surge plans are exceeded, or if multiple hospitals are involved in a multi-casualty response, a twenty-four seven phone number can contact the Regional Health Care Preparedness Coordinator (RHPC) who can assist with situational awareness and virtual coordination through the Minnesota System for Tracking Resources, Alerts, and Communication (MNTrac). During a health incident, hospitals will consider the need to:</w:t>
      </w:r>
    </w:p>
    <w:p w:rsidRPr="00EC4DBE" w:rsidR="00EC4DBE" w:rsidP="00432267" w:rsidRDefault="00EC4DBE" w14:paraId="7EF747E4" w14:textId="77777777">
      <w:pPr>
        <w:numPr>
          <w:ilvl w:val="0"/>
          <w:numId w:val="31"/>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Notify the RHPC of an incident and/or discuss activation of the HMAC.</w:t>
      </w:r>
    </w:p>
    <w:p w:rsidRPr="00EC4DBE" w:rsidR="00EC4DBE" w:rsidP="00432267" w:rsidRDefault="00EC4DBE" w14:paraId="6F8E0204" w14:textId="77777777">
      <w:pPr>
        <w:numPr>
          <w:ilvl w:val="0"/>
          <w:numId w:val="31"/>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Respond to any requests made by the CMHPC as outlined by the CMHPC By-laws and Memorandum of Understanding.</w:t>
      </w:r>
    </w:p>
    <w:p w:rsidRPr="00EC4DBE" w:rsidR="00EC4DBE" w:rsidP="00432267" w:rsidRDefault="00EC4DBE" w14:paraId="35F04DF6" w14:textId="77777777">
      <w:pPr>
        <w:numPr>
          <w:ilvl w:val="0"/>
          <w:numId w:val="31"/>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Respond to MNTrac alerts and announcements, including participating in the MNTrac Command Center if requested.</w:t>
      </w:r>
    </w:p>
    <w:p w:rsidRPr="00EC4DBE" w:rsidR="00EC4DBE" w:rsidP="00432267" w:rsidRDefault="00EC4DBE" w14:paraId="5EEBAF9B" w14:textId="77777777">
      <w:pPr>
        <w:numPr>
          <w:ilvl w:val="0"/>
          <w:numId w:val="31"/>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lastRenderedPageBreak/>
        <w:t>Communicate with coalition members, local emergency management, and supporting organizations on incident status.</w:t>
      </w:r>
    </w:p>
    <w:p w:rsidRPr="00EC4DBE" w:rsidR="00EC4DBE" w:rsidP="00432267" w:rsidRDefault="00EC4DBE" w14:paraId="12BCB3F7" w14:textId="13D1F8C6">
      <w:pPr>
        <w:numPr>
          <w:ilvl w:val="0"/>
          <w:numId w:val="31"/>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Participate in health care multi-agency coordination (HMAC) group if activated.</w:t>
      </w:r>
      <w:r w:rsidR="00215DA3">
        <w:rPr>
          <w:rFonts w:ascii="Calibri" w:hAnsi="Calibri" w:eastAsia="Times New Roman" w:cs="Times New Roman"/>
          <w:sz w:val="22"/>
          <w:lang w:bidi="en-US"/>
        </w:rPr>
        <w:br/>
      </w:r>
    </w:p>
    <w:p w:rsidRPr="00EC4DBE" w:rsidR="00EC4DBE" w:rsidP="00261652" w:rsidRDefault="00EC4DBE" w14:paraId="6C50B85C" w14:textId="77777777">
      <w:pPr>
        <w:pStyle w:val="Heading4"/>
        <w:rPr>
          <w:rFonts w:eastAsia="Times New Roman"/>
          <w:lang w:bidi="en-US"/>
        </w:rPr>
      </w:pPr>
      <w:bookmarkStart w:name="_Toc7085092" w:id="29"/>
      <w:bookmarkStart w:name="_Toc99650022" w:id="30"/>
      <w:bookmarkStart w:name="_Toc103417372" w:id="31"/>
      <w:r w:rsidRPr="00EC4DBE">
        <w:rPr>
          <w:rFonts w:eastAsia="Times New Roman"/>
          <w:lang w:bidi="en-US"/>
        </w:rPr>
        <w:t>Public Health</w:t>
      </w:r>
      <w:bookmarkEnd w:id="29"/>
      <w:bookmarkEnd w:id="30"/>
      <w:bookmarkEnd w:id="31"/>
      <w:r w:rsidRPr="00EC4DBE">
        <w:rPr>
          <w:rFonts w:eastAsia="Times New Roman"/>
          <w:lang w:bidi="en-US"/>
        </w:rPr>
        <w:t xml:space="preserve"> </w:t>
      </w:r>
    </w:p>
    <w:p w:rsidRPr="00EC4DBE" w:rsidR="00EC4DBE" w:rsidP="00432267" w:rsidRDefault="00EC4DBE" w14:paraId="6FBD9303" w14:textId="77777777">
      <w:pPr>
        <w:spacing w:before="120" w:after="120" w:line="276" w:lineRule="auto"/>
        <w:ind w:left="720"/>
        <w:rPr>
          <w:rFonts w:ascii="Calibri" w:hAnsi="Calibri" w:eastAsia="Times New Roman" w:cs="Times New Roman"/>
          <w:sz w:val="22"/>
          <w:lang w:bidi="en-US"/>
        </w:rPr>
      </w:pPr>
      <w:r w:rsidRPr="00EC4DBE">
        <w:rPr>
          <w:rFonts w:ascii="Calibri" w:hAnsi="Calibri" w:eastAsia="Times New Roman" w:cs="Times New Roman"/>
          <w:sz w:val="22"/>
          <w:lang w:bidi="en-US"/>
        </w:rPr>
        <w:t>There are fourteen public health agencies in the Central Region that provide community health services designed to protect and promote the health of the general population within the community. Each public health agency operates locally within county emergency operations plan and will coordinate with other agencies, or regionally, if a public health incident occurs in multiple jurisdictions. During a health incident public health will consider the need to:</w:t>
      </w:r>
    </w:p>
    <w:p w:rsidRPr="00EC4DBE" w:rsidR="00EC4DBE" w:rsidP="00432267" w:rsidRDefault="00EC4DBE" w14:paraId="56BDC204" w14:textId="77777777">
      <w:pPr>
        <w:numPr>
          <w:ilvl w:val="0"/>
          <w:numId w:val="32"/>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Notify the RHPC of an incident and/or discuss activation of the HMAC.</w:t>
      </w:r>
    </w:p>
    <w:p w:rsidRPr="00EC4DBE" w:rsidR="00EC4DBE" w:rsidP="00432267" w:rsidRDefault="00EC4DBE" w14:paraId="48C8EAE5" w14:textId="77777777">
      <w:pPr>
        <w:numPr>
          <w:ilvl w:val="0"/>
          <w:numId w:val="32"/>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Notify other local and state partners, as necessary.</w:t>
      </w:r>
    </w:p>
    <w:p w:rsidRPr="00EC4DBE" w:rsidR="00EC4DBE" w:rsidP="00432267" w:rsidRDefault="00EC4DBE" w14:paraId="5EE82C0E" w14:textId="77777777">
      <w:pPr>
        <w:numPr>
          <w:ilvl w:val="0"/>
          <w:numId w:val="32"/>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Assist other public health in behavioral health support as needed.</w:t>
      </w:r>
    </w:p>
    <w:p w:rsidRPr="00EC4DBE" w:rsidR="00EC4DBE" w:rsidP="00432267" w:rsidRDefault="00EC4DBE" w14:paraId="0BEEFF43" w14:textId="77777777">
      <w:pPr>
        <w:numPr>
          <w:ilvl w:val="0"/>
          <w:numId w:val="32"/>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Collaborate with health and medical facilities during the request, receipt, and distribution of the strategic national stockpile (SNS) or other regional/state/federal assets.</w:t>
      </w:r>
    </w:p>
    <w:p w:rsidRPr="00EC4DBE" w:rsidR="00EC4DBE" w:rsidP="00432267" w:rsidRDefault="00EC4DBE" w14:paraId="6AC36F93" w14:textId="77777777">
      <w:pPr>
        <w:numPr>
          <w:ilvl w:val="0"/>
          <w:numId w:val="32"/>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Participate in a health care multi-agency coordination (HMAC) group if activated.</w:t>
      </w:r>
    </w:p>
    <w:p w:rsidRPr="00EC4DBE" w:rsidR="00EC4DBE" w:rsidP="00261652" w:rsidRDefault="00EC4DBE" w14:paraId="669C4A1E" w14:textId="77777777">
      <w:pPr>
        <w:pStyle w:val="Heading4"/>
        <w:rPr>
          <w:rFonts w:eastAsia="Times New Roman"/>
          <w:lang w:bidi="en-US"/>
        </w:rPr>
      </w:pPr>
      <w:bookmarkStart w:name="_Toc7085093" w:id="32"/>
      <w:bookmarkStart w:name="_Toc99650023" w:id="33"/>
      <w:bookmarkStart w:name="_Toc103417373" w:id="34"/>
      <w:r w:rsidRPr="00EC4DBE">
        <w:rPr>
          <w:rFonts w:eastAsia="Times New Roman"/>
          <w:lang w:bidi="en-US"/>
        </w:rPr>
        <w:t>Emergency Management</w:t>
      </w:r>
      <w:bookmarkEnd w:id="32"/>
      <w:bookmarkEnd w:id="33"/>
      <w:bookmarkEnd w:id="34"/>
    </w:p>
    <w:p w:rsidRPr="00EC4DBE" w:rsidR="00EC4DBE" w:rsidP="00432267" w:rsidRDefault="00EC4DBE" w14:paraId="14D45A6F" w14:textId="77777777">
      <w:pPr>
        <w:spacing w:before="120" w:after="120" w:line="276" w:lineRule="auto"/>
        <w:ind w:left="720"/>
        <w:rPr>
          <w:rFonts w:ascii="Calibri" w:hAnsi="Calibri" w:eastAsia="Times New Roman" w:cs="Times New Roman"/>
          <w:sz w:val="22"/>
          <w:lang w:bidi="en-US"/>
        </w:rPr>
      </w:pPr>
      <w:r w:rsidRPr="00EC4DBE">
        <w:rPr>
          <w:rFonts w:ascii="Calibri" w:hAnsi="Calibri" w:eastAsia="Times New Roman" w:cs="Times New Roman"/>
          <w:sz w:val="22"/>
          <w:lang w:bidi="en-US"/>
        </w:rPr>
        <w:t>Every city and county within the fourteen-county Central Region has an emergency manager responsible for preparing, responding, and recovering their jurisdiction from disasters. During a health incident, emergency managers will consider the need to:</w:t>
      </w:r>
    </w:p>
    <w:p w:rsidRPr="00EC4DBE" w:rsidR="00EC4DBE" w:rsidP="00432267" w:rsidRDefault="00EC4DBE" w14:paraId="319E1FA1" w14:textId="77777777">
      <w:pPr>
        <w:numPr>
          <w:ilvl w:val="0"/>
          <w:numId w:val="33"/>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Notify the RHPC of an incident and/or discuss activation of the CMHPC HMAC.</w:t>
      </w:r>
    </w:p>
    <w:p w:rsidRPr="00EC4DBE" w:rsidR="00EC4DBE" w:rsidP="00432267" w:rsidRDefault="00EC4DBE" w14:paraId="1A302C06" w14:textId="77777777">
      <w:pPr>
        <w:numPr>
          <w:ilvl w:val="0"/>
          <w:numId w:val="33"/>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Support area hospitals and other health care agency implementation of their emergency response plans for surge capacity.</w:t>
      </w:r>
    </w:p>
    <w:p w:rsidRPr="00EC4DBE" w:rsidR="00EC4DBE" w:rsidP="00432267" w:rsidRDefault="00EC4DBE" w14:paraId="45158F10" w14:textId="77777777">
      <w:pPr>
        <w:numPr>
          <w:ilvl w:val="0"/>
          <w:numId w:val="33"/>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Collaborate with health and medical facilities during the request, receipt, and distribution of the strategic national stockpile (SNS) or other state/federal assets.</w:t>
      </w:r>
    </w:p>
    <w:p w:rsidRPr="00EC4DBE" w:rsidR="00EC4DBE" w:rsidP="00432267" w:rsidRDefault="00EC4DBE" w14:paraId="671E2B15" w14:textId="77777777">
      <w:pPr>
        <w:numPr>
          <w:ilvl w:val="0"/>
          <w:numId w:val="33"/>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Support regional cooperation for health-related resource sharing and allocation.</w:t>
      </w:r>
    </w:p>
    <w:p w:rsidRPr="00EC4DBE" w:rsidR="00EC4DBE" w:rsidP="00432267" w:rsidRDefault="00EC4DBE" w14:paraId="0B67AF68" w14:textId="77777777">
      <w:pPr>
        <w:numPr>
          <w:ilvl w:val="0"/>
          <w:numId w:val="33"/>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Participate in a health care multi-agency coordination (HMAC) group if activated.</w:t>
      </w:r>
    </w:p>
    <w:p w:rsidRPr="00EC4DBE" w:rsidR="00EC4DBE" w:rsidP="00261652" w:rsidRDefault="00EC4DBE" w14:paraId="23C0D60A" w14:textId="77777777">
      <w:pPr>
        <w:pStyle w:val="Heading4"/>
        <w:rPr>
          <w:rFonts w:eastAsia="Times New Roman"/>
          <w:lang w:bidi="en-US"/>
        </w:rPr>
      </w:pPr>
      <w:bookmarkStart w:name="_Toc7085094" w:id="35"/>
      <w:bookmarkStart w:name="_Toc99650024" w:id="36"/>
      <w:bookmarkStart w:name="_Toc103417374" w:id="37"/>
      <w:r w:rsidRPr="00EC4DBE">
        <w:rPr>
          <w:rFonts w:eastAsia="Times New Roman"/>
          <w:lang w:bidi="en-US"/>
        </w:rPr>
        <w:t>Other Health and Medical Coalition Members</w:t>
      </w:r>
      <w:bookmarkEnd w:id="35"/>
      <w:bookmarkEnd w:id="36"/>
      <w:bookmarkEnd w:id="37"/>
    </w:p>
    <w:p w:rsidRPr="00EC4DBE" w:rsidR="00EC4DBE" w:rsidP="00432267" w:rsidRDefault="00EC4DBE" w14:paraId="37E00C62" w14:textId="77777777">
      <w:pPr>
        <w:spacing w:before="120" w:after="120" w:line="276" w:lineRule="auto"/>
        <w:ind w:left="720"/>
        <w:rPr>
          <w:rFonts w:ascii="Calibri" w:hAnsi="Calibri" w:eastAsia="Times New Roman" w:cs="Times New Roman"/>
          <w:sz w:val="22"/>
          <w:lang w:bidi="en-US"/>
        </w:rPr>
      </w:pPr>
      <w:r w:rsidRPr="00EC4DBE">
        <w:rPr>
          <w:rFonts w:ascii="Calibri" w:hAnsi="Calibri" w:eastAsia="Times New Roman" w:cs="Times New Roman"/>
          <w:sz w:val="22"/>
          <w:lang w:bidi="en-US"/>
        </w:rPr>
        <w:t>Long-term care, home health care, hospice, and other centers for Medicare and Medicaid medical service (CMS) providers also provide the health and medical care within the community and Central Region. Every licensed health care organization has federal requirements for disaster planning and are identified in the overall regional health care response planning. Considerations for other health and medical agencies are to:</w:t>
      </w:r>
    </w:p>
    <w:p w:rsidRPr="00EC4DBE" w:rsidR="00EC4DBE" w:rsidP="00432267" w:rsidRDefault="00EC4DBE" w14:paraId="2947E1C5" w14:textId="77777777">
      <w:pPr>
        <w:numPr>
          <w:ilvl w:val="0"/>
          <w:numId w:val="34"/>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Notify the RHPC of an incident and/or discuss activation of the HMAC if there is an incident that impacts your facility and the region.</w:t>
      </w:r>
    </w:p>
    <w:p w:rsidRPr="00EC4DBE" w:rsidR="00EC4DBE" w:rsidP="00432267" w:rsidRDefault="00EC4DBE" w14:paraId="45AD180F" w14:textId="77777777">
      <w:pPr>
        <w:numPr>
          <w:ilvl w:val="0"/>
          <w:numId w:val="34"/>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Support area health care facility’s implementation of their emergency response plans for surge capacity.</w:t>
      </w:r>
    </w:p>
    <w:p w:rsidRPr="00EC4DBE" w:rsidR="00EC4DBE" w:rsidP="00432267" w:rsidRDefault="00EC4DBE" w14:paraId="1C80DAF5" w14:textId="77777777">
      <w:pPr>
        <w:numPr>
          <w:ilvl w:val="0"/>
          <w:numId w:val="34"/>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lastRenderedPageBreak/>
        <w:t>Collaborate with public health and/or health care facilities during the request, receipt, and distribution of the strategic national stockpile (SNS) or other state/federal assets.</w:t>
      </w:r>
    </w:p>
    <w:p w:rsidRPr="00EC4DBE" w:rsidR="00EC4DBE" w:rsidP="00432267" w:rsidRDefault="00EC4DBE" w14:paraId="165CA4E0" w14:textId="77777777">
      <w:pPr>
        <w:numPr>
          <w:ilvl w:val="0"/>
          <w:numId w:val="34"/>
        </w:numPr>
        <w:spacing w:before="60" w:after="60" w:line="276" w:lineRule="auto"/>
        <w:ind w:left="1440"/>
        <w:contextualSpacing/>
        <w:rPr>
          <w:rFonts w:ascii="Calibri" w:hAnsi="Calibri" w:eastAsia="Times New Roman" w:cs="Times New Roman"/>
          <w:sz w:val="22"/>
          <w:lang w:bidi="en-US"/>
        </w:rPr>
      </w:pPr>
      <w:r w:rsidRPr="00EC4DBE">
        <w:rPr>
          <w:rFonts w:ascii="Calibri" w:hAnsi="Calibri" w:eastAsia="Times New Roman" w:cs="Times New Roman"/>
          <w:sz w:val="22"/>
          <w:lang w:bidi="en-US"/>
        </w:rPr>
        <w:t>Participate in a health care multi-agency coordination (HMAC) group if activated and requested.</w:t>
      </w:r>
    </w:p>
    <w:p w:rsidRPr="00EC4DBE" w:rsidR="00EC4DBE" w:rsidP="00432267" w:rsidRDefault="00EC4DBE" w14:paraId="7B2DDDDE" w14:textId="77777777">
      <w:pPr>
        <w:spacing w:before="120" w:after="120" w:line="276" w:lineRule="auto"/>
        <w:ind w:left="720"/>
        <w:rPr>
          <w:rFonts w:ascii="Calibri" w:hAnsi="Calibri" w:eastAsia="Times New Roman" w:cs="Times New Roman"/>
          <w:sz w:val="22"/>
          <w:lang w:bidi="en-US"/>
        </w:rPr>
      </w:pPr>
      <w:r w:rsidRPr="00EC4DBE">
        <w:rPr>
          <w:rFonts w:ascii="Calibri" w:hAnsi="Calibri" w:eastAsia="Times New Roman" w:cs="Times New Roman"/>
          <w:sz w:val="22"/>
          <w:lang w:bidi="en-US"/>
        </w:rPr>
        <w:t xml:space="preserve"> More detailed roles and responsibilities are identified in the individual coalition members’ emergency operational plans.</w:t>
      </w:r>
    </w:p>
    <w:p w:rsidR="000270C7" w:rsidP="00261652" w:rsidRDefault="000270C7" w14:paraId="2113F3EB" w14:textId="77777777">
      <w:pPr>
        <w:pStyle w:val="Heading3"/>
      </w:pPr>
      <w:bookmarkStart w:name="_Toc103411580" w:id="38"/>
      <w:bookmarkStart w:name="_Toc103417375" w:id="39"/>
      <w:r>
        <w:t>2.2.2</w:t>
      </w:r>
      <w:r w:rsidR="00637543">
        <w:t xml:space="preserve"> </w:t>
      </w:r>
      <w:r w:rsidR="009F65B6">
        <w:t>Coalition Response Organizational Structure</w:t>
      </w:r>
      <w:bookmarkEnd w:id="38"/>
      <w:bookmarkEnd w:id="39"/>
    </w:p>
    <w:p w:rsidRPr="00215DA3" w:rsidR="00215DA3" w:rsidP="00215DA3" w:rsidRDefault="00215DA3" w14:paraId="71C9BAF9" w14:textId="77777777">
      <w:pPr>
        <w:spacing w:before="120" w:after="120" w:line="276" w:lineRule="auto"/>
        <w:ind w:left="720"/>
        <w:rPr>
          <w:rFonts w:ascii="Calibri" w:hAnsi="Calibri" w:eastAsia="Times New Roman" w:cs="Times New Roman"/>
          <w:sz w:val="22"/>
          <w:lang w:bidi="en-US"/>
        </w:rPr>
      </w:pPr>
      <w:r w:rsidRPr="00215DA3">
        <w:rPr>
          <w:rFonts w:ascii="Calibri" w:hAnsi="Calibri" w:eastAsia="Times New Roman" w:cs="Times New Roman"/>
          <w:sz w:val="22"/>
          <w:lang w:bidi="en-US"/>
        </w:rPr>
        <w:t>Coordination between Coalition members helps create a common operating picture and provides the architecture to respond effectively and efficiently, often with scarce resources. HMAC coordination can support regional responses prior to requesting state resources. An HMAC will provide a reasonable span of control as information is gathered and response plans are determined. It is understood that the HMAC group:</w:t>
      </w:r>
    </w:p>
    <w:p w:rsidRPr="00215DA3" w:rsidR="00215DA3" w:rsidP="00215DA3" w:rsidRDefault="00215DA3" w14:paraId="6316D5D8" w14:textId="77777777">
      <w:pPr>
        <w:numPr>
          <w:ilvl w:val="0"/>
          <w:numId w:val="38"/>
        </w:numPr>
        <w:spacing w:before="0" w:after="160" w:line="276" w:lineRule="auto"/>
        <w:ind w:left="1440"/>
        <w:contextualSpacing/>
        <w:rPr>
          <w:rFonts w:ascii="Calibri" w:hAnsi="Calibri" w:eastAsia="Calibri" w:cs="Times New Roman"/>
          <w:sz w:val="22"/>
        </w:rPr>
      </w:pPr>
      <w:r w:rsidRPr="00215DA3">
        <w:rPr>
          <w:rFonts w:ascii="Calibri" w:hAnsi="Calibri" w:eastAsia="Calibri" w:cs="Times New Roman"/>
          <w:sz w:val="22"/>
        </w:rPr>
        <w:t>Does not supersede municipal, county, or state emergency operation plans.</w:t>
      </w:r>
    </w:p>
    <w:p w:rsidRPr="00215DA3" w:rsidR="00215DA3" w:rsidP="00215DA3" w:rsidRDefault="00215DA3" w14:paraId="7E16B52D" w14:textId="77777777">
      <w:pPr>
        <w:numPr>
          <w:ilvl w:val="0"/>
          <w:numId w:val="38"/>
        </w:numPr>
        <w:spacing w:before="0" w:after="160" w:line="276" w:lineRule="auto"/>
        <w:ind w:left="1440"/>
        <w:contextualSpacing/>
        <w:rPr>
          <w:rFonts w:ascii="Calibri" w:hAnsi="Calibri" w:eastAsia="Calibri" w:cs="Times New Roman"/>
          <w:sz w:val="22"/>
        </w:rPr>
      </w:pPr>
      <w:r w:rsidRPr="00215DA3">
        <w:rPr>
          <w:rFonts w:ascii="Calibri" w:hAnsi="Calibri" w:eastAsia="Calibri" w:cs="Times New Roman"/>
          <w:sz w:val="22"/>
        </w:rPr>
        <w:t>Does not supersede facility plans.</w:t>
      </w:r>
    </w:p>
    <w:p w:rsidRPr="00215DA3" w:rsidR="00215DA3" w:rsidP="00215DA3" w:rsidRDefault="00215DA3" w14:paraId="48318D43" w14:textId="77777777">
      <w:pPr>
        <w:numPr>
          <w:ilvl w:val="0"/>
          <w:numId w:val="38"/>
        </w:numPr>
        <w:spacing w:before="0" w:after="160" w:line="276" w:lineRule="auto"/>
        <w:ind w:left="1440"/>
        <w:contextualSpacing/>
        <w:rPr>
          <w:rFonts w:ascii="Calibri" w:hAnsi="Calibri" w:eastAsia="Calibri" w:cs="Times New Roman"/>
          <w:sz w:val="22"/>
        </w:rPr>
      </w:pPr>
      <w:r w:rsidRPr="00215DA3">
        <w:rPr>
          <w:rFonts w:ascii="Calibri" w:hAnsi="Calibri" w:eastAsia="Calibri" w:cs="Times New Roman"/>
          <w:sz w:val="22"/>
        </w:rPr>
        <w:t>Does not direct local efforts or control local resources.</w:t>
      </w:r>
    </w:p>
    <w:p w:rsidRPr="00215DA3" w:rsidR="00215DA3" w:rsidP="00215DA3" w:rsidRDefault="00971AB5" w14:paraId="30051E61" w14:textId="7B338B49">
      <w:pPr>
        <w:numPr>
          <w:ilvl w:val="0"/>
          <w:numId w:val="38"/>
        </w:numPr>
        <w:spacing w:before="0" w:after="160" w:line="276" w:lineRule="auto"/>
        <w:ind w:left="1440"/>
        <w:contextualSpacing/>
        <w:rPr>
          <w:rFonts w:ascii="Calibri" w:hAnsi="Calibri" w:eastAsia="Calibri" w:cs="Times New Roman"/>
          <w:sz w:val="22"/>
        </w:rPr>
      </w:pPr>
      <w:r>
        <w:rPr>
          <w:rFonts w:ascii="Calibri" w:hAnsi="Calibri" w:eastAsia="Calibri" w:cs="Times New Roman"/>
          <w:sz w:val="22"/>
        </w:rPr>
        <w:t>Primary function is</w:t>
      </w:r>
      <w:r w:rsidRPr="00215DA3" w:rsidR="00215DA3">
        <w:rPr>
          <w:rFonts w:ascii="Calibri" w:hAnsi="Calibri" w:eastAsia="Calibri" w:cs="Times New Roman"/>
          <w:sz w:val="22"/>
        </w:rPr>
        <w:t xml:space="preserve"> information and resource sharing.</w:t>
      </w:r>
      <w:r w:rsidR="00215DA3">
        <w:rPr>
          <w:rFonts w:ascii="Calibri" w:hAnsi="Calibri" w:eastAsia="Calibri" w:cs="Times New Roman"/>
          <w:sz w:val="22"/>
        </w:rPr>
        <w:br/>
      </w:r>
    </w:p>
    <w:p w:rsidRPr="00215DA3" w:rsidR="00215DA3" w:rsidP="00215DA3" w:rsidRDefault="00215DA3" w14:paraId="4F6B3D50" w14:textId="77777777">
      <w:pPr>
        <w:spacing w:before="120" w:after="120" w:line="276" w:lineRule="auto"/>
        <w:ind w:left="720"/>
        <w:rPr>
          <w:rFonts w:ascii="Calibri" w:hAnsi="Calibri" w:eastAsia="Times New Roman" w:cs="Times New Roman"/>
          <w:sz w:val="22"/>
          <w:lang w:bidi="en-US"/>
        </w:rPr>
      </w:pPr>
      <w:r w:rsidRPr="00215DA3">
        <w:rPr>
          <w:rFonts w:ascii="Calibri" w:hAnsi="Calibri" w:eastAsia="Times New Roman" w:cs="Times New Roman"/>
          <w:sz w:val="22"/>
          <w:lang w:bidi="en-US"/>
        </w:rPr>
        <w:t xml:space="preserve">The mission for the CMHPC HMAC is to provide a: </w:t>
      </w:r>
    </w:p>
    <w:p w:rsidRPr="00215DA3" w:rsidR="00215DA3" w:rsidP="00215DA3" w:rsidRDefault="00215DA3" w14:paraId="601C0A3D" w14:textId="77777777">
      <w:pPr>
        <w:numPr>
          <w:ilvl w:val="0"/>
          <w:numId w:val="39"/>
        </w:numPr>
        <w:spacing w:before="60" w:after="60" w:line="276" w:lineRule="auto"/>
        <w:ind w:left="1440"/>
        <w:contextualSpacing/>
        <w:rPr>
          <w:rFonts w:ascii="Calibri" w:hAnsi="Calibri" w:eastAsia="Times New Roman" w:cs="Times New Roman"/>
          <w:sz w:val="22"/>
          <w:lang w:bidi="en-US"/>
        </w:rPr>
      </w:pPr>
      <w:r w:rsidRPr="00215DA3">
        <w:rPr>
          <w:rFonts w:ascii="Calibri" w:hAnsi="Calibri" w:eastAsia="Times New Roman" w:cs="Times New Roman"/>
          <w:sz w:val="22"/>
          <w:lang w:bidi="en-US"/>
        </w:rPr>
        <w:t xml:space="preserve">Structure for information sharing to provide representational situational awareness. </w:t>
      </w:r>
    </w:p>
    <w:p w:rsidRPr="00215DA3" w:rsidR="00215DA3" w:rsidP="4162B6B1" w:rsidRDefault="00215DA3" w14:paraId="2EC1C0BF" w14:textId="4D95822D">
      <w:pPr>
        <w:numPr>
          <w:ilvl w:val="0"/>
          <w:numId w:val="39"/>
        </w:numPr>
        <w:spacing w:before="60" w:after="60" w:line="276" w:lineRule="auto"/>
        <w:ind w:left="1440"/>
        <w:contextualSpacing/>
        <w:rPr>
          <w:rFonts w:ascii="Calibri" w:hAnsi="Calibri" w:eastAsia="Times New Roman" w:cs="Times New Roman"/>
          <w:sz w:val="22"/>
          <w:szCs w:val="22"/>
          <w:lang w:bidi="en-US"/>
        </w:rPr>
      </w:pPr>
      <w:r w:rsidRPr="4162B6B1" w:rsidR="59E9FE62">
        <w:rPr>
          <w:rFonts w:ascii="Calibri" w:hAnsi="Calibri" w:eastAsia="Times New Roman" w:cs="Times New Roman"/>
          <w:sz w:val="22"/>
          <w:szCs w:val="22"/>
          <w:lang w:bidi="en-US"/>
        </w:rPr>
        <w:t xml:space="preserve">Method for coordinating or sharing health-related policy decision-making at each local </w:t>
      </w:r>
      <w:r w:rsidRPr="4162B6B1" w:rsidR="59E9FE62">
        <w:rPr>
          <w:rFonts w:ascii="Calibri" w:hAnsi="Calibri" w:eastAsia="Times New Roman" w:cs="Times New Roman"/>
          <w:sz w:val="22"/>
          <w:szCs w:val="22"/>
          <w:lang w:bidi="en-US"/>
        </w:rPr>
        <w:t>jurisdiction</w:t>
      </w:r>
      <w:r w:rsidRPr="4162B6B1" w:rsidR="59E9FE62">
        <w:rPr>
          <w:rFonts w:ascii="Calibri" w:hAnsi="Calibri" w:eastAsia="Times New Roman" w:cs="Times New Roman"/>
          <w:sz w:val="22"/>
          <w:szCs w:val="22"/>
          <w:lang w:bidi="en-US"/>
        </w:rPr>
        <w:t>, to ensure that jurisdictions are aware of regional policies, and to enable consistency of region-wide decision-making</w:t>
      </w:r>
      <w:r w:rsidRPr="4162B6B1" w:rsidR="59E9FE62">
        <w:rPr>
          <w:rFonts w:ascii="Calibri" w:hAnsi="Calibri" w:eastAsia="Times New Roman" w:cs="Times New Roman"/>
          <w:sz w:val="22"/>
          <w:szCs w:val="22"/>
          <w:lang w:bidi="en-US"/>
        </w:rPr>
        <w:t xml:space="preserve">. </w:t>
      </w:r>
    </w:p>
    <w:p w:rsidRPr="00215DA3" w:rsidR="00215DA3" w:rsidP="00215DA3" w:rsidRDefault="00215DA3" w14:paraId="5A0C1928" w14:textId="77777777">
      <w:pPr>
        <w:numPr>
          <w:ilvl w:val="0"/>
          <w:numId w:val="39"/>
        </w:numPr>
        <w:spacing w:before="60" w:after="60" w:line="276" w:lineRule="auto"/>
        <w:ind w:left="1440"/>
        <w:contextualSpacing/>
        <w:rPr>
          <w:rFonts w:ascii="Calibri" w:hAnsi="Calibri" w:eastAsia="Times New Roman" w:cs="Times New Roman"/>
          <w:sz w:val="22"/>
          <w:lang w:bidi="en-US"/>
        </w:rPr>
      </w:pPr>
      <w:r w:rsidRPr="00215DA3">
        <w:rPr>
          <w:rFonts w:ascii="Calibri" w:hAnsi="Calibri" w:eastAsia="Times New Roman" w:cs="Times New Roman"/>
          <w:sz w:val="22"/>
          <w:lang w:bidi="en-US"/>
        </w:rPr>
        <w:t>Framework for coordination of critical health and medical resource allocation decision-making.</w:t>
      </w:r>
    </w:p>
    <w:p w:rsidR="00215DA3" w:rsidP="00215DA3" w:rsidRDefault="00215DA3" w14:paraId="1D2DEF19" w14:textId="47D72834">
      <w:pPr>
        <w:spacing w:before="120" w:after="120" w:line="276" w:lineRule="auto"/>
        <w:ind w:left="720"/>
        <w:rPr>
          <w:rFonts w:ascii="Calibri" w:hAnsi="Calibri" w:eastAsia="Times New Roman" w:cs="Times New Roman"/>
          <w:sz w:val="22"/>
          <w:lang w:bidi="en-US"/>
        </w:rPr>
      </w:pPr>
      <w:r w:rsidRPr="00215DA3">
        <w:rPr>
          <w:rFonts w:ascii="Calibri" w:hAnsi="Calibri" w:eastAsia="Times New Roman" w:cs="Times New Roman"/>
          <w:sz w:val="22"/>
          <w:lang w:bidi="en-US"/>
        </w:rPr>
        <w:t>This mission will be fulfilled by receipt of information from and recommendations by local county or municipal emergency operations centers and other coordinating entities such as the Emergency Medical Services Multi-Agency Coordination (EMS-MACC), Minnesota Department of Health (MDH), as well as other responding local and state agencies.</w:t>
      </w:r>
    </w:p>
    <w:p w:rsidRPr="00971AB5" w:rsidR="00971AB5" w:rsidP="4162B6B1" w:rsidRDefault="00971AB5" w14:paraId="5786E917" w14:textId="7BF57E12">
      <w:pPr>
        <w:spacing w:before="120" w:after="120" w:line="276" w:lineRule="auto"/>
        <w:ind w:left="720"/>
        <w:rPr>
          <w:rFonts w:ascii="Calibri" w:hAnsi="Calibri" w:eastAsia="Times New Roman" w:cs="Times New Roman"/>
          <w:sz w:val="22"/>
          <w:szCs w:val="22"/>
          <w:lang w:bidi="en-US"/>
        </w:rPr>
      </w:pPr>
      <w:r w:rsidRPr="4162B6B1" w:rsidR="35A72B3B">
        <w:rPr>
          <w:rFonts w:ascii="Calibri" w:hAnsi="Calibri" w:eastAsia="Times New Roman" w:cs="Times New Roman"/>
          <w:sz w:val="22"/>
          <w:szCs w:val="22"/>
          <w:lang w:bidi="en-US"/>
        </w:rPr>
        <w:t xml:space="preserve">The Federal Emergency Management Agency (FEMA) </w:t>
      </w:r>
      <w:r w:rsidRPr="4162B6B1" w:rsidR="35A72B3B">
        <w:rPr>
          <w:rFonts w:ascii="Calibri" w:hAnsi="Calibri" w:eastAsia="Times New Roman" w:cs="Times New Roman"/>
          <w:sz w:val="22"/>
          <w:szCs w:val="22"/>
          <w:lang w:bidi="en-US"/>
        </w:rPr>
        <w:t>identifies</w:t>
      </w:r>
      <w:r w:rsidRPr="4162B6B1" w:rsidR="35A72B3B">
        <w:rPr>
          <w:rFonts w:ascii="Calibri" w:hAnsi="Calibri" w:eastAsia="Times New Roman" w:cs="Times New Roman"/>
          <w:sz w:val="22"/>
          <w:szCs w:val="22"/>
          <w:lang w:bidi="en-US"/>
        </w:rPr>
        <w:t xml:space="preserve"> 15 Emergency Support Functions (ESFs) to </w:t>
      </w:r>
      <w:r w:rsidRPr="4162B6B1" w:rsidR="35A72B3B">
        <w:rPr>
          <w:rFonts w:ascii="Calibri" w:hAnsi="Calibri" w:eastAsia="Times New Roman" w:cs="Times New Roman"/>
          <w:sz w:val="22"/>
          <w:szCs w:val="22"/>
          <w:lang w:bidi="en-US"/>
        </w:rPr>
        <w:t>provide</w:t>
      </w:r>
      <w:r w:rsidRPr="4162B6B1" w:rsidR="35A72B3B">
        <w:rPr>
          <w:rFonts w:ascii="Calibri" w:hAnsi="Calibri" w:eastAsia="Times New Roman" w:cs="Times New Roman"/>
          <w:sz w:val="22"/>
          <w:szCs w:val="22"/>
          <w:lang w:bidi="en-US"/>
        </w:rPr>
        <w:t xml:space="preserve"> the structure for coordinating Federal interagency support if needed to an incident. They are mechanisms for grouping functions most </w:t>
      </w:r>
      <w:r w:rsidRPr="4162B6B1" w:rsidR="35A72B3B">
        <w:rPr>
          <w:rFonts w:ascii="Calibri" w:hAnsi="Calibri" w:eastAsia="Times New Roman" w:cs="Times New Roman"/>
          <w:sz w:val="22"/>
          <w:szCs w:val="22"/>
          <w:lang w:bidi="en-US"/>
        </w:rPr>
        <w:t>frequently</w:t>
      </w:r>
      <w:r w:rsidRPr="4162B6B1" w:rsidR="35A72B3B">
        <w:rPr>
          <w:rFonts w:ascii="Calibri" w:hAnsi="Calibri" w:eastAsia="Times New Roman" w:cs="Times New Roman"/>
          <w:sz w:val="22"/>
          <w:szCs w:val="22"/>
          <w:lang w:bidi="en-US"/>
        </w:rPr>
        <w:t xml:space="preserve"> used together to </w:t>
      </w:r>
      <w:r w:rsidRPr="4162B6B1" w:rsidR="35A72B3B">
        <w:rPr>
          <w:rFonts w:ascii="Calibri" w:hAnsi="Calibri" w:eastAsia="Times New Roman" w:cs="Times New Roman"/>
          <w:sz w:val="22"/>
          <w:szCs w:val="22"/>
          <w:lang w:bidi="en-US"/>
        </w:rPr>
        <w:t>provide</w:t>
      </w:r>
      <w:r w:rsidRPr="4162B6B1" w:rsidR="35A72B3B">
        <w:rPr>
          <w:rFonts w:ascii="Calibri" w:hAnsi="Calibri" w:eastAsia="Times New Roman" w:cs="Times New Roman"/>
          <w:sz w:val="22"/>
          <w:szCs w:val="22"/>
          <w:lang w:bidi="en-US"/>
        </w:rPr>
        <w:t xml:space="preserve"> Federal support to States both for declared disasters and emergencies under the Stafford Act and for non-Stafford Act incidents</w:t>
      </w:r>
      <w:r w:rsidRPr="4162B6B1" w:rsidR="35A72B3B">
        <w:rPr>
          <w:rFonts w:ascii="Calibri" w:hAnsi="Calibri" w:eastAsia="Times New Roman" w:cs="Times New Roman"/>
          <w:sz w:val="22"/>
          <w:szCs w:val="22"/>
          <w:lang w:bidi="en-US"/>
        </w:rPr>
        <w:t xml:space="preserve">. </w:t>
      </w:r>
    </w:p>
    <w:p w:rsidRPr="00971AB5" w:rsidR="00971AB5" w:rsidP="4162B6B1" w:rsidRDefault="00971AB5" w14:paraId="6DA8F65D" w14:textId="5D955F34">
      <w:pPr>
        <w:spacing w:before="120" w:after="120" w:line="276" w:lineRule="auto"/>
        <w:ind w:left="720"/>
        <w:rPr>
          <w:rFonts w:ascii="Calibri" w:hAnsi="Calibri" w:eastAsia="Times New Roman" w:cs="Times New Roman"/>
          <w:sz w:val="22"/>
          <w:szCs w:val="22"/>
          <w:lang w:bidi="en-US"/>
        </w:rPr>
      </w:pPr>
      <w:r w:rsidRPr="4162B6B1" w:rsidR="35A72B3B">
        <w:rPr>
          <w:rFonts w:ascii="Calibri" w:hAnsi="Calibri" w:eastAsia="Times New Roman" w:cs="Times New Roman"/>
          <w:sz w:val="22"/>
          <w:szCs w:val="22"/>
          <w:lang w:bidi="en-US"/>
        </w:rPr>
        <w:t>ESF #8 is the Emergency Support Function</w:t>
      </w:r>
      <w:r w:rsidRPr="4162B6B1" w:rsidR="4F233ADF">
        <w:rPr>
          <w:rFonts w:ascii="Calibri" w:hAnsi="Calibri" w:eastAsia="Times New Roman" w:cs="Times New Roman"/>
          <w:sz w:val="22"/>
          <w:szCs w:val="22"/>
          <w:lang w:bidi="en-US"/>
        </w:rPr>
        <w:t xml:space="preserve"> (ESF)</w:t>
      </w:r>
      <w:r w:rsidRPr="4162B6B1" w:rsidR="35A72B3B">
        <w:rPr>
          <w:rFonts w:ascii="Calibri" w:hAnsi="Calibri" w:eastAsia="Times New Roman" w:cs="Times New Roman"/>
          <w:sz w:val="22"/>
          <w:szCs w:val="22"/>
          <w:lang w:bidi="en-US"/>
        </w:rPr>
        <w:t xml:space="preserve"> that include public health, medical services (including EMS, hospital, </w:t>
      </w:r>
      <w:r w:rsidRPr="4162B6B1" w:rsidR="35A72B3B">
        <w:rPr>
          <w:rFonts w:ascii="Calibri" w:hAnsi="Calibri" w:eastAsia="Times New Roman" w:cs="Times New Roman"/>
          <w:sz w:val="22"/>
          <w:szCs w:val="22"/>
          <w:lang w:bidi="en-US"/>
        </w:rPr>
        <w:t>LTC</w:t>
      </w:r>
      <w:r w:rsidRPr="4162B6B1" w:rsidR="35A72B3B">
        <w:rPr>
          <w:rFonts w:ascii="Calibri" w:hAnsi="Calibri" w:eastAsia="Times New Roman" w:cs="Times New Roman"/>
          <w:sz w:val="22"/>
          <w:szCs w:val="22"/>
          <w:lang w:bidi="en-US"/>
        </w:rPr>
        <w:t xml:space="preserve">, etc.), mental health services, and mass fatality management. The following links </w:t>
      </w:r>
      <w:r w:rsidRPr="4162B6B1" w:rsidR="35A72B3B">
        <w:rPr>
          <w:rFonts w:ascii="Calibri" w:hAnsi="Calibri" w:eastAsia="Times New Roman" w:cs="Times New Roman"/>
          <w:sz w:val="22"/>
          <w:szCs w:val="22"/>
          <w:lang w:bidi="en-US"/>
        </w:rPr>
        <w:t>provide</w:t>
      </w:r>
      <w:r w:rsidRPr="4162B6B1" w:rsidR="35A72B3B">
        <w:rPr>
          <w:rFonts w:ascii="Calibri" w:hAnsi="Calibri" w:eastAsia="Times New Roman" w:cs="Times New Roman"/>
          <w:sz w:val="22"/>
          <w:szCs w:val="22"/>
          <w:lang w:bidi="en-US"/>
        </w:rPr>
        <w:t xml:space="preserve"> </w:t>
      </w:r>
      <w:r w:rsidRPr="4162B6B1" w:rsidR="35A72B3B">
        <w:rPr>
          <w:rFonts w:ascii="Calibri" w:hAnsi="Calibri" w:eastAsia="Times New Roman" w:cs="Times New Roman"/>
          <w:sz w:val="22"/>
          <w:szCs w:val="22"/>
          <w:lang w:bidi="en-US"/>
        </w:rPr>
        <w:t>additional</w:t>
      </w:r>
      <w:r w:rsidRPr="4162B6B1" w:rsidR="35A72B3B">
        <w:rPr>
          <w:rFonts w:ascii="Calibri" w:hAnsi="Calibri" w:eastAsia="Times New Roman" w:cs="Times New Roman"/>
          <w:sz w:val="22"/>
          <w:szCs w:val="22"/>
          <w:lang w:bidi="en-US"/>
        </w:rPr>
        <w:t xml:space="preserve"> information regarding the </w:t>
      </w:r>
      <w:hyperlink r:id="Rc868b6f0317e454c">
        <w:r w:rsidRPr="4162B6B1" w:rsidR="35A72B3B">
          <w:rPr>
            <w:rFonts w:ascii="Calibri" w:hAnsi="Calibri" w:eastAsia="Times New Roman" w:cs="Times New Roman"/>
            <w:color w:val="6B9F25"/>
            <w:sz w:val="22"/>
            <w:szCs w:val="22"/>
            <w:u w:val="single"/>
            <w:lang w:bidi="en-US"/>
          </w:rPr>
          <w:t>Robert T. Stafford Disaster Relief and Emergency Assistance Act</w:t>
        </w:r>
      </w:hyperlink>
      <w:r w:rsidRPr="4162B6B1" w:rsidR="35A72B3B">
        <w:rPr>
          <w:rFonts w:ascii="Calibri" w:hAnsi="Calibri" w:eastAsia="Times New Roman" w:cs="Times New Roman"/>
          <w:sz w:val="22"/>
          <w:szCs w:val="22"/>
          <w:lang w:bidi="en-US"/>
        </w:rPr>
        <w:t xml:space="preserve"> and the Federal Emergency Management Agency (FEMA) </w:t>
      </w:r>
      <w:hyperlink r:id="Rca17c2503c054fa6">
        <w:r w:rsidRPr="4162B6B1" w:rsidR="35A72B3B">
          <w:rPr>
            <w:rFonts w:ascii="Calibri" w:hAnsi="Calibri" w:eastAsia="Times New Roman" w:cs="Times New Roman"/>
            <w:color w:val="6B9F25"/>
            <w:sz w:val="22"/>
            <w:szCs w:val="22"/>
            <w:u w:val="single"/>
            <w:lang w:bidi="en-US"/>
          </w:rPr>
          <w:t>Emergency Support Functions</w:t>
        </w:r>
      </w:hyperlink>
      <w:r w:rsidRPr="4162B6B1" w:rsidR="35A72B3B">
        <w:rPr>
          <w:rFonts w:ascii="Calibri" w:hAnsi="Calibri" w:eastAsia="Times New Roman" w:cs="Times New Roman"/>
          <w:sz w:val="22"/>
          <w:szCs w:val="22"/>
          <w:lang w:bidi="en-US"/>
        </w:rPr>
        <w:t xml:space="preserve">. </w:t>
      </w:r>
      <w:r w:rsidRPr="4162B6B1" w:rsidR="4F233ADF">
        <w:rPr>
          <w:rFonts w:ascii="Calibri" w:hAnsi="Calibri" w:eastAsia="Times New Roman" w:cs="Times New Roman"/>
          <w:sz w:val="22"/>
          <w:szCs w:val="22"/>
          <w:lang w:bidi="en-US"/>
        </w:rPr>
        <w:t>The State of MN does n</w:t>
      </w:r>
      <w:r w:rsidRPr="4162B6B1" w:rsidR="4F233ADF">
        <w:rPr>
          <w:rFonts w:ascii="Calibri" w:hAnsi="Calibri" w:eastAsia="Times New Roman" w:cs="Times New Roman"/>
          <w:sz w:val="22"/>
          <w:szCs w:val="22"/>
          <w:lang w:bidi="en-US"/>
        </w:rPr>
        <w:t xml:space="preserve">ot </w:t>
      </w:r>
      <w:r w:rsidRPr="4162B6B1" w:rsidR="4F233ADF">
        <w:rPr>
          <w:rFonts w:ascii="Calibri" w:hAnsi="Calibri" w:eastAsia="Times New Roman" w:cs="Times New Roman"/>
          <w:sz w:val="22"/>
          <w:szCs w:val="22"/>
          <w:lang w:bidi="en-US"/>
        </w:rPr>
        <w:t>util</w:t>
      </w:r>
      <w:r w:rsidRPr="4162B6B1" w:rsidR="4F233ADF">
        <w:rPr>
          <w:rFonts w:ascii="Calibri" w:hAnsi="Calibri" w:eastAsia="Times New Roman" w:cs="Times New Roman"/>
          <w:sz w:val="22"/>
          <w:szCs w:val="22"/>
          <w:lang w:bidi="en-US"/>
        </w:rPr>
        <w:t>ize</w:t>
      </w:r>
      <w:r w:rsidRPr="4162B6B1" w:rsidR="4F233ADF">
        <w:rPr>
          <w:rFonts w:ascii="Calibri" w:hAnsi="Calibri" w:eastAsia="Times New Roman" w:cs="Times New Roman"/>
          <w:sz w:val="22"/>
          <w:szCs w:val="22"/>
          <w:lang w:bidi="en-US"/>
        </w:rPr>
        <w:t xml:space="preserve"> the ESF structure – with</w:t>
      </w:r>
      <w:r w:rsidRPr="4162B6B1" w:rsidR="4F233ADF">
        <w:rPr>
          <w:rFonts w:ascii="Calibri" w:hAnsi="Calibri" w:eastAsia="Times New Roman" w:cs="Times New Roman"/>
          <w:sz w:val="22"/>
          <w:szCs w:val="22"/>
          <w:lang w:bidi="en-US"/>
        </w:rPr>
        <w:t xml:space="preserve">in </w:t>
      </w:r>
      <w:r w:rsidRPr="4162B6B1" w:rsidR="4F233ADF">
        <w:rPr>
          <w:rFonts w:ascii="Calibri" w:hAnsi="Calibri" w:eastAsia="Times New Roman" w:cs="Times New Roman"/>
          <w:sz w:val="22"/>
          <w:szCs w:val="22"/>
          <w:lang w:bidi="en-US"/>
        </w:rPr>
        <w:t>H</w:t>
      </w:r>
      <w:r w:rsidRPr="4162B6B1" w:rsidR="4F233ADF">
        <w:rPr>
          <w:rFonts w:ascii="Calibri" w:hAnsi="Calibri" w:eastAsia="Times New Roman" w:cs="Times New Roman"/>
          <w:sz w:val="22"/>
          <w:szCs w:val="22"/>
          <w:lang w:bidi="en-US"/>
        </w:rPr>
        <w:t>SEM</w:t>
      </w:r>
      <w:r w:rsidRPr="4162B6B1" w:rsidR="4F233ADF">
        <w:rPr>
          <w:rFonts w:ascii="Calibri" w:hAnsi="Calibri" w:eastAsia="Times New Roman" w:cs="Times New Roman"/>
          <w:sz w:val="22"/>
          <w:szCs w:val="22"/>
          <w:lang w:bidi="en-US"/>
        </w:rPr>
        <w:t xml:space="preserve"> there is a Medical Branch which is activated by HSEM and supported by HSEM.</w:t>
      </w:r>
    </w:p>
    <w:p w:rsidRPr="00971AB5" w:rsidR="00971AB5" w:rsidP="4162B6B1" w:rsidRDefault="00971AB5" w14:paraId="060033EB" w14:textId="6E593ED6">
      <w:pPr>
        <w:spacing w:before="120" w:after="120" w:line="276" w:lineRule="auto"/>
        <w:ind w:left="720"/>
        <w:rPr>
          <w:rFonts w:ascii="Calibri" w:hAnsi="Calibri" w:eastAsia="Times New Roman" w:cs="Times New Roman"/>
          <w:sz w:val="22"/>
          <w:szCs w:val="22"/>
          <w:lang w:bidi="en-US"/>
        </w:rPr>
      </w:pPr>
      <w:r w:rsidRPr="4162B6B1" w:rsidR="35A72B3B">
        <w:rPr>
          <w:rFonts w:ascii="Calibri" w:hAnsi="Calibri" w:eastAsia="Times New Roman" w:cs="Times New Roman"/>
          <w:sz w:val="22"/>
          <w:szCs w:val="22"/>
          <w:lang w:bidi="en-US"/>
        </w:rPr>
        <w:t xml:space="preserve">The schematic </w:t>
      </w:r>
      <w:r w:rsidRPr="4162B6B1" w:rsidR="35A72B3B">
        <w:rPr>
          <w:rFonts w:ascii="Calibri" w:hAnsi="Calibri" w:eastAsia="Times New Roman" w:cs="Times New Roman"/>
          <w:sz w:val="22"/>
          <w:szCs w:val="22"/>
          <w:lang w:bidi="en-US"/>
        </w:rPr>
        <w:t>below</w:t>
      </w:r>
      <w:r w:rsidRPr="4162B6B1" w:rsidR="35A72B3B">
        <w:rPr>
          <w:rFonts w:ascii="Calibri" w:hAnsi="Calibri" w:eastAsia="Times New Roman" w:cs="Times New Roman"/>
          <w:sz w:val="22"/>
          <w:szCs w:val="22"/>
          <w:lang w:bidi="en-US"/>
        </w:rPr>
        <w:t xml:space="preserve"> </w:t>
      </w:r>
      <w:r w:rsidRPr="4162B6B1" w:rsidR="35A72B3B">
        <w:rPr>
          <w:rFonts w:ascii="Calibri" w:hAnsi="Calibri" w:eastAsia="Times New Roman" w:cs="Times New Roman"/>
          <w:sz w:val="22"/>
          <w:szCs w:val="22"/>
          <w:lang w:bidi="en-US"/>
        </w:rPr>
        <w:t>identifies</w:t>
      </w:r>
      <w:r w:rsidRPr="4162B6B1" w:rsidR="35A72B3B">
        <w:rPr>
          <w:rFonts w:ascii="Calibri" w:hAnsi="Calibri" w:eastAsia="Times New Roman" w:cs="Times New Roman"/>
          <w:sz w:val="22"/>
          <w:szCs w:val="22"/>
          <w:lang w:bidi="en-US"/>
        </w:rPr>
        <w:t xml:space="preserve"> the multiple communication and support efforts that could be involved in supporting </w:t>
      </w:r>
      <w:r w:rsidRPr="4162B6B1" w:rsidR="4F233ADF">
        <w:rPr>
          <w:rFonts w:ascii="Calibri" w:hAnsi="Calibri" w:eastAsia="Times New Roman" w:cs="Times New Roman"/>
          <w:sz w:val="22"/>
          <w:szCs w:val="22"/>
          <w:lang w:bidi="en-US"/>
        </w:rPr>
        <w:t>a healthcare response</w:t>
      </w:r>
      <w:r w:rsidRPr="4162B6B1" w:rsidR="35A72B3B">
        <w:rPr>
          <w:rFonts w:ascii="Calibri" w:hAnsi="Calibri" w:eastAsia="Times New Roman" w:cs="Times New Roman"/>
          <w:sz w:val="22"/>
          <w:szCs w:val="22"/>
          <w:lang w:bidi="en-US"/>
        </w:rPr>
        <w:t xml:space="preserve">. Various agencies have agreed to collaborate their efforts creating a health and medical coalition depicted by the black dotted line. Both emergency management and the Health Care Coalition </w:t>
      </w:r>
      <w:r w:rsidRPr="4162B6B1" w:rsidR="0D34038F">
        <w:rPr>
          <w:rFonts w:ascii="Calibri" w:hAnsi="Calibri" w:eastAsia="Times New Roman" w:cs="Times New Roman"/>
          <w:sz w:val="22"/>
          <w:szCs w:val="22"/>
          <w:lang w:bidi="en-US"/>
        </w:rPr>
        <w:t>can</w:t>
      </w:r>
      <w:r w:rsidRPr="4162B6B1" w:rsidR="35A72B3B">
        <w:rPr>
          <w:rFonts w:ascii="Calibri" w:hAnsi="Calibri" w:eastAsia="Times New Roman" w:cs="Times New Roman"/>
          <w:sz w:val="22"/>
          <w:szCs w:val="22"/>
          <w:lang w:bidi="en-US"/>
        </w:rPr>
        <w:t xml:space="preserve"> reach back to Federal and State partners. The coalition can also support county and local agencies upon request</w:t>
      </w:r>
      <w:r w:rsidRPr="4162B6B1" w:rsidR="35A72B3B">
        <w:rPr>
          <w:rFonts w:ascii="Calibri" w:hAnsi="Calibri" w:eastAsia="Times New Roman" w:cs="Times New Roman"/>
          <w:sz w:val="22"/>
          <w:szCs w:val="22"/>
          <w:lang w:bidi="en-US"/>
        </w:rPr>
        <w:t xml:space="preserve">. </w:t>
      </w:r>
    </w:p>
    <w:p w:rsidRPr="00971AB5" w:rsidR="00971AB5" w:rsidP="00971AB5" w:rsidRDefault="00971AB5" w14:paraId="50D461A9" w14:textId="77777777">
      <w:pPr>
        <w:spacing w:before="120" w:after="120" w:line="240" w:lineRule="auto"/>
        <w:ind w:left="720"/>
        <w:rPr>
          <w:rFonts w:ascii="Calibri" w:hAnsi="Calibri" w:eastAsia="Times New Roman" w:cs="Times New Roman"/>
          <w:sz w:val="22"/>
          <w:lang w:bidi="en-US"/>
        </w:rPr>
      </w:pPr>
      <w:r w:rsidRPr="00971AB5">
        <w:rPr>
          <w:rFonts w:ascii="Calibri" w:hAnsi="Calibri" w:eastAsia="Calibri" w:cs="Times New Roman"/>
          <w:noProof/>
          <w:sz w:val="22"/>
        </w:rPr>
        <w:drawing>
          <wp:inline distT="0" distB="0" distL="0" distR="0" wp14:anchorId="50375EE3" wp14:editId="3D53FB27">
            <wp:extent cx="4820958" cy="3854450"/>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8039" cy="3892092"/>
                    </a:xfrm>
                    <a:prstGeom prst="rect">
                      <a:avLst/>
                    </a:prstGeom>
                    <a:noFill/>
                  </pic:spPr>
                </pic:pic>
              </a:graphicData>
            </a:graphic>
          </wp:inline>
        </w:drawing>
      </w:r>
    </w:p>
    <w:p w:rsidRPr="00971AB5" w:rsidR="00971AB5" w:rsidP="00261652" w:rsidRDefault="00971AB5" w14:paraId="7EB37F6F" w14:textId="77777777">
      <w:pPr>
        <w:pStyle w:val="Heading4"/>
        <w:rPr>
          <w:rFonts w:eastAsia="Calibri"/>
        </w:rPr>
      </w:pPr>
      <w:bookmarkStart w:name="_Toc7085096" w:id="40"/>
      <w:bookmarkStart w:name="_Toc99650027" w:id="41"/>
      <w:bookmarkStart w:name="_Toc103417376" w:id="42"/>
      <w:r w:rsidRPr="00971AB5">
        <w:rPr>
          <w:rFonts w:eastAsia="Calibri"/>
        </w:rPr>
        <w:t>Coalition Health Care Multi-Agency Coordination (HMAC) Group Response Assumptions</w:t>
      </w:r>
      <w:bookmarkEnd w:id="40"/>
      <w:bookmarkEnd w:id="41"/>
      <w:bookmarkEnd w:id="42"/>
    </w:p>
    <w:p w:rsidRPr="00971AB5" w:rsidR="00971AB5" w:rsidP="00525CC6" w:rsidRDefault="00971AB5" w14:paraId="472CCCDF" w14:textId="77777777">
      <w:pPr>
        <w:spacing w:before="120" w:after="120" w:line="276" w:lineRule="auto"/>
        <w:rPr>
          <w:rFonts w:ascii="Calibri" w:hAnsi="Calibri" w:eastAsia="Times New Roman" w:cs="Times New Roman"/>
          <w:sz w:val="22"/>
          <w:lang w:bidi="en-US"/>
        </w:rPr>
      </w:pPr>
      <w:r w:rsidRPr="00971AB5">
        <w:rPr>
          <w:rFonts w:ascii="Calibri" w:hAnsi="Calibri" w:eastAsia="Times New Roman" w:cs="Times New Roman"/>
          <w:sz w:val="22"/>
          <w:lang w:bidi="en-US"/>
        </w:rPr>
        <w:t>The HMAC group response structure promotes cooperation and coordination, but recognizes the autonomy, operational authority, and unique characteristics of each jurisdiction (at facility, local, regional, and state levels). All jurisdictions/entities supporting the CMHPC will collaborate in good faith to make decisions that are in the best interest of their facility/agency and region.</w:t>
      </w:r>
    </w:p>
    <w:p w:rsidRPr="00971AB5" w:rsidR="00971AB5" w:rsidP="000533C4" w:rsidRDefault="00971AB5" w14:paraId="1CBC511E" w14:textId="77777777">
      <w:pPr>
        <w:pStyle w:val="Heading5"/>
        <w:rPr>
          <w:rFonts w:eastAsia="Times New Roman"/>
          <w:lang w:bidi="en-US"/>
        </w:rPr>
      </w:pPr>
      <w:bookmarkStart w:name="_Toc99650028" w:id="43"/>
      <w:r w:rsidRPr="00971AB5">
        <w:rPr>
          <w:rFonts w:eastAsia="Times New Roman"/>
          <w:lang w:bidi="en-US"/>
        </w:rPr>
        <w:t>Planning Assumptions</w:t>
      </w:r>
      <w:bookmarkEnd w:id="43"/>
    </w:p>
    <w:p w:rsidRPr="00971AB5" w:rsidR="00971AB5" w:rsidP="00525CC6" w:rsidRDefault="00971AB5" w14:paraId="7F80B806" w14:textId="77777777">
      <w:pPr>
        <w:spacing w:before="60" w:after="60" w:line="276" w:lineRule="auto"/>
        <w:ind w:left="1800" w:hanging="360"/>
        <w:contextualSpacing/>
        <w:rPr>
          <w:rFonts w:ascii="Calibri" w:hAnsi="Calibri" w:eastAsia="Times New Roman" w:cs="Times New Roman"/>
          <w:sz w:val="22"/>
          <w:lang w:bidi="en-US"/>
        </w:rPr>
      </w:pPr>
      <w:r w:rsidRPr="00971AB5">
        <w:rPr>
          <w:rFonts w:ascii="Calibri" w:hAnsi="Calibri" w:eastAsia="Times New Roman" w:cs="Times New Roman"/>
          <w:sz w:val="22"/>
          <w:lang w:bidi="en-US"/>
        </w:rPr>
        <w:t>Coalition members will respond as detailed in their emergency response plans.</w:t>
      </w:r>
    </w:p>
    <w:p w:rsidRPr="00971AB5" w:rsidR="00971AB5" w:rsidP="00525CC6" w:rsidRDefault="00971AB5" w14:paraId="0820AD01" w14:textId="77777777">
      <w:pPr>
        <w:spacing w:before="60" w:after="60" w:line="276" w:lineRule="auto"/>
        <w:ind w:left="1800" w:hanging="360"/>
        <w:contextualSpacing/>
        <w:rPr>
          <w:rFonts w:ascii="Calibri" w:hAnsi="Calibri" w:eastAsia="Times New Roman" w:cs="Times New Roman"/>
          <w:sz w:val="22"/>
          <w:lang w:bidi="en-US"/>
        </w:rPr>
      </w:pPr>
      <w:r w:rsidRPr="00971AB5">
        <w:rPr>
          <w:rFonts w:ascii="Calibri" w:hAnsi="Calibri" w:eastAsia="Times New Roman" w:cs="Times New Roman"/>
          <w:sz w:val="22"/>
          <w:lang w:bidi="en-US"/>
        </w:rPr>
        <w:t>Coalition members will coordinate closely to ensure continuation of critical services.</w:t>
      </w:r>
    </w:p>
    <w:p w:rsidRPr="00971AB5" w:rsidR="00971AB5" w:rsidP="00525CC6" w:rsidRDefault="00971AB5" w14:paraId="6899A55A" w14:textId="014A593D">
      <w:pPr>
        <w:spacing w:before="60" w:after="60" w:line="276" w:lineRule="auto"/>
        <w:contextualSpacing/>
        <w:rPr>
          <w:rFonts w:ascii="Calibri" w:hAnsi="Calibri" w:eastAsia="Times New Roman" w:cs="Times New Roman"/>
          <w:sz w:val="22"/>
          <w:lang w:bidi="en-US"/>
        </w:rPr>
      </w:pPr>
      <w:r w:rsidRPr="00971AB5">
        <w:rPr>
          <w:rFonts w:ascii="Calibri" w:hAnsi="Calibri" w:eastAsia="Times New Roman" w:cs="Times New Roman"/>
          <w:sz w:val="22"/>
          <w:lang w:bidi="en-US"/>
        </w:rPr>
        <w:t>Emergency response will require the participation of many coalition members, and the</w:t>
      </w:r>
      <w:r w:rsidR="00525CC6">
        <w:rPr>
          <w:rFonts w:ascii="Calibri" w:hAnsi="Calibri" w:eastAsia="Times New Roman" w:cs="Times New Roman"/>
          <w:sz w:val="22"/>
          <w:lang w:bidi="en-US"/>
        </w:rPr>
        <w:t xml:space="preserve"> c</w:t>
      </w:r>
      <w:r w:rsidRPr="00971AB5">
        <w:rPr>
          <w:rFonts w:ascii="Calibri" w:hAnsi="Calibri" w:eastAsia="Times New Roman" w:cs="Times New Roman"/>
          <w:sz w:val="22"/>
          <w:lang w:bidi="en-US"/>
        </w:rPr>
        <w:t>oordination with multiple communities, governments, health care and first responder agencies.</w:t>
      </w:r>
    </w:p>
    <w:p w:rsidRPr="00971AB5" w:rsidR="00971AB5" w:rsidP="000533C4" w:rsidRDefault="00971AB5" w14:paraId="69694B0E" w14:textId="77777777">
      <w:pPr>
        <w:pStyle w:val="Heading5"/>
        <w:rPr>
          <w:rFonts w:eastAsia="Times New Roman"/>
          <w:lang w:bidi="en-US"/>
        </w:rPr>
      </w:pPr>
      <w:bookmarkStart w:name="_Toc99650029" w:id="44"/>
      <w:r w:rsidRPr="00971AB5">
        <w:rPr>
          <w:rFonts w:eastAsia="Times New Roman"/>
          <w:lang w:bidi="en-US"/>
        </w:rPr>
        <w:t>Operational Assumptions</w:t>
      </w:r>
      <w:bookmarkEnd w:id="44"/>
    </w:p>
    <w:p w:rsidRPr="00971AB5" w:rsidR="00971AB5" w:rsidP="00971AB5" w:rsidRDefault="00971AB5" w14:paraId="07713E5E" w14:textId="77777777">
      <w:pPr>
        <w:numPr>
          <w:ilvl w:val="0"/>
          <w:numId w:val="40"/>
        </w:numPr>
        <w:spacing w:before="0" w:after="120" w:line="276" w:lineRule="auto"/>
        <w:ind w:left="1800"/>
        <w:rPr>
          <w:rFonts w:ascii="Calibri" w:hAnsi="Calibri" w:eastAsia="Times New Roman" w:cs="Times New Roman"/>
          <w:sz w:val="22"/>
          <w:lang w:bidi="en-US"/>
        </w:rPr>
      </w:pPr>
      <w:r w:rsidRPr="00971AB5">
        <w:rPr>
          <w:rFonts w:ascii="Calibri" w:hAnsi="Calibri" w:eastAsia="Times New Roman" w:cs="Times New Roman"/>
          <w:sz w:val="22"/>
          <w:lang w:bidi="en-US"/>
        </w:rPr>
        <w:t>Timely and accurate information sharing at all phases of a regional incident is necessary for situational response and recovery.</w:t>
      </w:r>
    </w:p>
    <w:p w:rsidRPr="00971AB5" w:rsidR="00971AB5" w:rsidP="4162B6B1" w:rsidRDefault="00971AB5" w14:paraId="1E724D4E" w14:textId="31B50EE0">
      <w:pPr>
        <w:numPr>
          <w:ilvl w:val="0"/>
          <w:numId w:val="40"/>
        </w:numPr>
        <w:spacing w:before="0" w:after="120" w:line="276" w:lineRule="auto"/>
        <w:ind w:left="1800"/>
        <w:rPr>
          <w:rFonts w:ascii="Calibri" w:hAnsi="Calibri" w:eastAsia="Times New Roman" w:cs="Times New Roman"/>
          <w:sz w:val="22"/>
          <w:szCs w:val="22"/>
          <w:lang w:bidi="en-US"/>
        </w:rPr>
      </w:pPr>
      <w:r w:rsidRPr="4162B6B1" w:rsidR="35A72B3B">
        <w:rPr>
          <w:rFonts w:ascii="Calibri" w:hAnsi="Calibri" w:eastAsia="Times New Roman" w:cs="Times New Roman"/>
          <w:sz w:val="22"/>
          <w:szCs w:val="22"/>
          <w:lang w:bidi="en-US"/>
        </w:rPr>
        <w:t xml:space="preserve">An incident can happen with little to no notice or may only become </w:t>
      </w:r>
      <w:r w:rsidRPr="4162B6B1" w:rsidR="35A72B3B">
        <w:rPr>
          <w:rFonts w:ascii="Calibri" w:hAnsi="Calibri" w:eastAsia="Times New Roman" w:cs="Times New Roman"/>
          <w:sz w:val="22"/>
          <w:szCs w:val="22"/>
          <w:lang w:bidi="en-US"/>
        </w:rPr>
        <w:t>apparent</w:t>
      </w:r>
      <w:r w:rsidRPr="4162B6B1" w:rsidR="35A72B3B">
        <w:rPr>
          <w:rFonts w:ascii="Calibri" w:hAnsi="Calibri" w:eastAsia="Times New Roman" w:cs="Times New Roman"/>
          <w:sz w:val="22"/>
          <w:szCs w:val="22"/>
          <w:lang w:bidi="en-US"/>
        </w:rPr>
        <w:t xml:space="preserve"> over time</w:t>
      </w:r>
      <w:r w:rsidRPr="4162B6B1" w:rsidR="35A72B3B">
        <w:rPr>
          <w:rFonts w:ascii="Calibri" w:hAnsi="Calibri" w:eastAsia="Times New Roman" w:cs="Times New Roman"/>
          <w:sz w:val="22"/>
          <w:szCs w:val="22"/>
          <w:lang w:bidi="en-US"/>
        </w:rPr>
        <w:t xml:space="preserve">. </w:t>
      </w:r>
      <w:r w:rsidRPr="4162B6B1" w:rsidR="35A72B3B">
        <w:rPr>
          <w:rFonts w:ascii="Calibri" w:hAnsi="Calibri" w:eastAsia="Times New Roman" w:cs="Times New Roman"/>
          <w:sz w:val="22"/>
          <w:szCs w:val="22"/>
          <w:lang w:bidi="en-US"/>
        </w:rPr>
        <w:t>Immediate resources to communicate, coordinate, and respond collaboratively are necessary.</w:t>
      </w:r>
    </w:p>
    <w:p w:rsidRPr="00971AB5" w:rsidR="00971AB5" w:rsidP="00971AB5" w:rsidRDefault="00971AB5" w14:paraId="220C62CF" w14:textId="77777777">
      <w:pPr>
        <w:numPr>
          <w:ilvl w:val="0"/>
          <w:numId w:val="40"/>
        </w:numPr>
        <w:spacing w:before="0" w:after="120" w:line="276" w:lineRule="auto"/>
        <w:ind w:left="1800"/>
        <w:rPr>
          <w:rFonts w:ascii="Calibri" w:hAnsi="Calibri" w:eastAsia="Times New Roman" w:cs="Times New Roman"/>
          <w:sz w:val="22"/>
          <w:lang w:bidi="en-US"/>
        </w:rPr>
      </w:pPr>
      <w:r w:rsidRPr="00971AB5">
        <w:rPr>
          <w:rFonts w:ascii="Calibri" w:hAnsi="Calibri" w:eastAsia="Times New Roman" w:cs="Times New Roman"/>
          <w:sz w:val="22"/>
          <w:lang w:bidi="en-US"/>
        </w:rPr>
        <w:t>The medical response may overwhelm the health care system without an integrated cooperative response.</w:t>
      </w:r>
    </w:p>
    <w:p w:rsidRPr="00215DA3" w:rsidR="00971AB5" w:rsidP="00215DA3" w:rsidRDefault="00971AB5" w14:paraId="242E20AB" w14:textId="77777777">
      <w:pPr>
        <w:spacing w:before="120" w:after="120" w:line="276" w:lineRule="auto"/>
        <w:ind w:left="720"/>
        <w:rPr>
          <w:rFonts w:ascii="Calibri" w:hAnsi="Calibri" w:eastAsia="Times New Roman" w:cs="Times New Roman"/>
          <w:sz w:val="22"/>
          <w:lang w:bidi="en-US"/>
        </w:rPr>
      </w:pPr>
    </w:p>
    <w:p w:rsidR="00275DA9" w:rsidP="00971AB5" w:rsidRDefault="00EE18C5" w14:paraId="769B550E" w14:textId="037366BC">
      <w:pPr>
        <w:pStyle w:val="Heading2"/>
        <w:ind w:left="0"/>
      </w:pPr>
      <w:bookmarkStart w:name="_Toc103411581" w:id="45"/>
      <w:bookmarkStart w:name="_Toc103417377" w:id="46"/>
      <w:r>
        <w:t>2.3 Response Operations</w:t>
      </w:r>
      <w:bookmarkEnd w:id="45"/>
      <w:bookmarkEnd w:id="46"/>
    </w:p>
    <w:p w:rsidRPr="00525CC6" w:rsidR="00525CC6" w:rsidP="00525CC6" w:rsidRDefault="00973978" w14:paraId="020B1516" w14:textId="31A015CF">
      <w:pPr>
        <w:spacing w:before="120" w:after="120" w:line="276" w:lineRule="auto"/>
        <w:ind w:left="0"/>
        <w:rPr>
          <w:rFonts w:ascii="Calibri" w:hAnsi="Calibri" w:eastAsia="Times New Roman" w:cs="Calibri"/>
          <w:sz w:val="22"/>
          <w:lang w:bidi="en-US"/>
        </w:rPr>
      </w:pPr>
      <w:r>
        <w:rPr>
          <w:noProof/>
        </w:rPr>
        <w:drawing>
          <wp:anchor distT="0" distB="0" distL="114300" distR="114300" simplePos="0" relativeHeight="251674624" behindDoc="1" locked="0" layoutInCell="1" allowOverlap="1" wp14:anchorId="5CC0A08E" wp14:editId="7CC569A0">
            <wp:simplePos x="0" y="0"/>
            <wp:positionH relativeFrom="column">
              <wp:posOffset>4210050</wp:posOffset>
            </wp:positionH>
            <wp:positionV relativeFrom="paragraph">
              <wp:posOffset>756285</wp:posOffset>
            </wp:positionV>
            <wp:extent cx="2171700" cy="1903095"/>
            <wp:effectExtent l="0" t="0" r="0" b="1905"/>
            <wp:wrapTight wrapText="bothSides">
              <wp:wrapPolygon edited="0">
                <wp:start x="0" y="0"/>
                <wp:lineTo x="0" y="21405"/>
                <wp:lineTo x="21411" y="21405"/>
                <wp:lineTo x="21411" y="0"/>
                <wp:lineTo x="0" y="0"/>
              </wp:wrapPolygon>
            </wp:wrapTight>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71700" cy="1903095"/>
                    </a:xfrm>
                    <a:prstGeom prst="rect">
                      <a:avLst/>
                    </a:prstGeom>
                  </pic:spPr>
                </pic:pic>
              </a:graphicData>
            </a:graphic>
          </wp:anchor>
        </w:drawing>
      </w:r>
      <w:r w:rsidRPr="00525CC6" w:rsidR="00525CC6">
        <w:rPr>
          <w:rFonts w:ascii="Calibri" w:hAnsi="Calibri" w:eastAsia="Times New Roman" w:cs="Calibri"/>
          <w:sz w:val="22"/>
          <w:lang w:bidi="en-US"/>
        </w:rPr>
        <w:t xml:space="preserve">The following are recommended actions for notifying the RHPC or activating the HMAC in support of a localized or regional incident or event which may have significant impacts on the Coalition health care infrastructure. Based on the nature and severity of the incident, the RHPC staff will determine the coalition notification level and need to activate the HMAC. </w:t>
      </w:r>
    </w:p>
    <w:p w:rsidR="00E04749" w:rsidP="00261652" w:rsidRDefault="00EE5BCA" w14:paraId="648DEB63" w14:textId="35163FF3">
      <w:pPr>
        <w:pStyle w:val="Heading3"/>
      </w:pPr>
      <w:bookmarkStart w:name="_Toc103411582" w:id="47"/>
      <w:bookmarkStart w:name="_Toc103417378" w:id="48"/>
      <w:r>
        <w:t>2.3.1 Stages of Incident Response</w:t>
      </w:r>
      <w:bookmarkEnd w:id="47"/>
      <w:bookmarkEnd w:id="48"/>
    </w:p>
    <w:p w:rsidR="00525CC6" w:rsidP="00525CC6" w:rsidRDefault="00525CC6" w14:paraId="766E207B" w14:textId="65717971">
      <w:pPr>
        <w:spacing w:before="120" w:after="120" w:line="240" w:lineRule="auto"/>
        <w:ind w:left="720"/>
        <w:rPr>
          <w:rFonts w:ascii="Calibri" w:hAnsi="Calibri" w:eastAsia="Times New Roman" w:cs="Times New Roman"/>
          <w:color w:val="000000"/>
          <w:sz w:val="22"/>
          <w:lang w:bidi="en-US"/>
        </w:rPr>
      </w:pPr>
      <w:r w:rsidRPr="00525CC6">
        <w:rPr>
          <w:rFonts w:ascii="Calibri" w:hAnsi="Calibri" w:eastAsia="Times New Roman" w:cs="Times New Roman"/>
          <w:color w:val="000000"/>
          <w:sz w:val="22"/>
          <w:lang w:bidi="en-US"/>
        </w:rPr>
        <w:t xml:space="preserve">The coalition will function in a decentralized nature during normal day-to-day activities. As an incident or event occurs with potential or actual impact to coalition members, the coalition members may be notified of an advisory, alert, or activated status. </w:t>
      </w:r>
    </w:p>
    <w:p w:rsidRPr="00973978" w:rsidR="00973978" w:rsidP="00261652" w:rsidRDefault="00973978" w14:paraId="12FD68B4" w14:textId="77777777">
      <w:pPr>
        <w:pStyle w:val="Heading4"/>
        <w:rPr>
          <w:rFonts w:eastAsia="Calibri"/>
        </w:rPr>
      </w:pPr>
      <w:bookmarkStart w:name="_Toc99650032" w:id="49"/>
      <w:bookmarkStart w:name="_Toc103417379" w:id="50"/>
      <w:r w:rsidRPr="00973978">
        <w:rPr>
          <w:rFonts w:eastAsia="Calibri"/>
        </w:rPr>
        <w:t>Advisory, Alert, or Activation Status</w:t>
      </w:r>
      <w:bookmarkEnd w:id="49"/>
      <w:bookmarkEnd w:id="50"/>
    </w:p>
    <w:p w:rsidRPr="00973978" w:rsidR="00973978" w:rsidP="00432267" w:rsidRDefault="00973978" w14:paraId="1EA6819B" w14:textId="77777777">
      <w:pPr>
        <w:spacing w:before="120" w:after="120" w:line="240" w:lineRule="auto"/>
        <w:ind w:left="720"/>
        <w:rPr>
          <w:rFonts w:ascii="Calibri" w:hAnsi="Calibri" w:eastAsia="Times New Roman" w:cs="Times New Roman"/>
          <w:sz w:val="22"/>
          <w:lang w:bidi="en-US"/>
        </w:rPr>
      </w:pPr>
      <w:r w:rsidRPr="00973978">
        <w:rPr>
          <w:rFonts w:ascii="Calibri" w:hAnsi="Calibri" w:eastAsia="Times New Roman" w:cs="Times New Roman"/>
          <w:sz w:val="22"/>
          <w:lang w:bidi="en-US"/>
        </w:rPr>
        <w:t>Coalition members should notify others of a potential or current incident when one of the following occur:</w:t>
      </w:r>
    </w:p>
    <w:p w:rsidRPr="00973978" w:rsidR="00973978" w:rsidP="00432267" w:rsidRDefault="00973978" w14:paraId="74C6E455"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lastRenderedPageBreak/>
        <w:t xml:space="preserve">A health care organization evacuation is imminent. </w:t>
      </w:r>
    </w:p>
    <w:p w:rsidRPr="00973978" w:rsidR="00973978" w:rsidP="00432267" w:rsidRDefault="00973978" w14:paraId="0D328698"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An evacuation of a geographic location affecting Coalition members.</w:t>
      </w:r>
    </w:p>
    <w:p w:rsidRPr="00973978" w:rsidR="00973978" w:rsidP="00432267" w:rsidRDefault="00973978" w14:paraId="6662367B"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 xml:space="preserve">There is a critical shortage of medical and/or ancillary personnel </w:t>
      </w:r>
    </w:p>
    <w:p w:rsidRPr="00973978" w:rsidR="00973978" w:rsidP="00432267" w:rsidRDefault="00973978" w14:paraId="60D0EE8A" w14:textId="77777777">
      <w:pPr>
        <w:spacing w:before="0" w:line="240" w:lineRule="auto"/>
        <w:ind w:left="1080" w:firstLine="360"/>
        <w:rPr>
          <w:rFonts w:ascii="Calibri" w:hAnsi="Calibri" w:eastAsia="Times New Roman" w:cs="Times New Roman"/>
          <w:sz w:val="22"/>
          <w:lang w:bidi="en-US"/>
        </w:rPr>
      </w:pPr>
      <w:r w:rsidRPr="00973978">
        <w:rPr>
          <w:rFonts w:ascii="Calibri" w:hAnsi="Calibri" w:eastAsia="Times New Roman" w:cs="Times New Roman"/>
          <w:sz w:val="22"/>
          <w:lang w:bidi="en-US"/>
        </w:rPr>
        <w:t>to care for patients (capacity).</w:t>
      </w:r>
    </w:p>
    <w:p w:rsidRPr="00973978" w:rsidR="00973978" w:rsidP="00432267" w:rsidRDefault="00973978" w14:paraId="4A5C0683"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There is a shortage of medical supplies.</w:t>
      </w:r>
    </w:p>
    <w:p w:rsidRPr="00973978" w:rsidR="00973978" w:rsidP="00432267" w:rsidRDefault="00973978" w14:paraId="4772BC63"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A health care organization is damaged or compromised.</w:t>
      </w:r>
    </w:p>
    <w:p w:rsidRPr="00973978" w:rsidR="00973978" w:rsidP="00432267" w:rsidRDefault="00973978" w14:paraId="17B1F1EB"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Critical utility and back-up systems are in use or not operational.</w:t>
      </w:r>
    </w:p>
    <w:p w:rsidRPr="00973978" w:rsidR="00973978" w:rsidP="00432267" w:rsidRDefault="00973978" w14:paraId="209A7095" w14:textId="7777777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A local emergency and/or all-hazard incident is occurring.</w:t>
      </w:r>
    </w:p>
    <w:p w:rsidRPr="00973978" w:rsidR="00973978" w:rsidP="00432267" w:rsidRDefault="00973978" w14:paraId="5FDDBE0C" w14:textId="79B526C7">
      <w:pPr>
        <w:numPr>
          <w:ilvl w:val="0"/>
          <w:numId w:val="41"/>
        </w:numPr>
        <w:spacing w:before="60" w:after="60" w:line="240"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 xml:space="preserve">A statewide or federal emergency is declared. </w:t>
      </w:r>
      <w:r>
        <w:rPr>
          <w:rFonts w:ascii="Calibri" w:hAnsi="Calibri" w:eastAsia="Times New Roman" w:cs="Times New Roman"/>
          <w:sz w:val="22"/>
          <w:lang w:bidi="en-US"/>
        </w:rPr>
        <w:br/>
      </w:r>
    </w:p>
    <w:p w:rsidR="008E41D8" w:rsidP="00261652" w:rsidRDefault="00736AFF" w14:paraId="722994FE" w14:textId="74669918">
      <w:pPr>
        <w:pStyle w:val="Heading4"/>
      </w:pPr>
      <w:bookmarkStart w:name="_Toc103417380" w:id="51"/>
      <w:r>
        <w:t>2.3.1.1 Incident Recognition</w:t>
      </w:r>
      <w:bookmarkEnd w:id="51"/>
    </w:p>
    <w:p w:rsidRPr="00973978" w:rsidR="00973978" w:rsidP="4162B6B1" w:rsidRDefault="00973978" w14:paraId="359D9353" w14:textId="2512F22F">
      <w:pPr>
        <w:spacing w:before="120" w:after="120" w:line="276" w:lineRule="auto"/>
        <w:ind w:left="720"/>
        <w:rPr>
          <w:rFonts w:ascii="Calibri" w:hAnsi="Calibri" w:eastAsia="Times New Roman" w:cs="Times New Roman"/>
          <w:sz w:val="22"/>
          <w:szCs w:val="22"/>
          <w:lang w:bidi="en-US"/>
        </w:rPr>
      </w:pPr>
      <w:r w:rsidRPr="4162B6B1" w:rsidR="65816C69">
        <w:rPr>
          <w:rFonts w:ascii="Calibri" w:hAnsi="Calibri" w:eastAsia="Times New Roman" w:cs="Times New Roman"/>
          <w:sz w:val="22"/>
          <w:szCs w:val="22"/>
          <w:lang w:bidi="en-US"/>
        </w:rPr>
        <w:t xml:space="preserve">Awareness of an incident occurring may come from a variety of sources including coalition members and/or partners. Coalition members will notify the RHPC through their </w:t>
      </w:r>
      <w:r w:rsidRPr="4162B6B1" w:rsidR="65816C69">
        <w:rPr>
          <w:rFonts w:ascii="Calibri" w:hAnsi="Calibri" w:eastAsia="Times New Roman" w:cs="Times New Roman"/>
          <w:sz w:val="22"/>
          <w:szCs w:val="22"/>
          <w:lang w:bidi="en-US"/>
        </w:rPr>
        <w:t>appropriate committee</w:t>
      </w:r>
      <w:r w:rsidRPr="4162B6B1" w:rsidR="65816C69">
        <w:rPr>
          <w:rFonts w:ascii="Calibri" w:hAnsi="Calibri" w:eastAsia="Times New Roman" w:cs="Times New Roman"/>
          <w:sz w:val="22"/>
          <w:szCs w:val="22"/>
          <w:lang w:bidi="en-US"/>
        </w:rPr>
        <w:t xml:space="preserve"> representative, or directly if the situation </w:t>
      </w:r>
      <w:r w:rsidRPr="4162B6B1" w:rsidR="65816C69">
        <w:rPr>
          <w:rFonts w:ascii="Calibri" w:hAnsi="Calibri" w:eastAsia="Times New Roman" w:cs="Times New Roman"/>
          <w:sz w:val="22"/>
          <w:szCs w:val="22"/>
          <w:lang w:bidi="en-US"/>
        </w:rPr>
        <w:t>warrants</w:t>
      </w:r>
      <w:r w:rsidRPr="4162B6B1" w:rsidR="65816C69">
        <w:rPr>
          <w:rFonts w:ascii="Calibri" w:hAnsi="Calibri" w:eastAsia="Times New Roman" w:cs="Times New Roman"/>
          <w:sz w:val="22"/>
          <w:szCs w:val="22"/>
          <w:lang w:bidi="en-US"/>
        </w:rPr>
        <w:t>. In addition, the coalition member should notify their local emergency manager for situational awareness or if there is a potential need for support</w:t>
      </w:r>
      <w:r w:rsidRPr="4162B6B1" w:rsidR="65816C69">
        <w:rPr>
          <w:rFonts w:ascii="Calibri" w:hAnsi="Calibri" w:eastAsia="Times New Roman" w:cs="Times New Roman"/>
          <w:sz w:val="22"/>
          <w:szCs w:val="22"/>
          <w:lang w:bidi="en-US"/>
        </w:rPr>
        <w:t xml:space="preserve">. </w:t>
      </w:r>
      <w:r w:rsidRPr="4162B6B1" w:rsidR="65816C69">
        <w:rPr>
          <w:rFonts w:ascii="Calibri" w:hAnsi="Calibri" w:eastAsia="Times New Roman" w:cs="Times New Roman"/>
          <w:sz w:val="22"/>
          <w:szCs w:val="22"/>
          <w:lang w:bidi="en-US"/>
        </w:rPr>
        <w:t>A</w:t>
      </w:r>
      <w:r w:rsidRPr="4162B6B1" w:rsidR="65816C69">
        <w:rPr>
          <w:rFonts w:ascii="Calibri" w:hAnsi="Calibri" w:eastAsia="Times New Roman" w:cs="Times New Roman"/>
          <w:sz w:val="22"/>
          <w:szCs w:val="22"/>
          <w:lang w:bidi="en-US"/>
        </w:rPr>
        <w:t>ny impac</w:t>
      </w:r>
      <w:r w:rsidRPr="4162B6B1" w:rsidR="65816C69">
        <w:rPr>
          <w:rFonts w:ascii="Calibri" w:hAnsi="Calibri" w:eastAsia="Times New Roman" w:cs="Times New Roman"/>
          <w:sz w:val="22"/>
          <w:szCs w:val="22"/>
          <w:lang w:bidi="en-US"/>
        </w:rPr>
        <w:t xml:space="preserve">ted coalition member may call to discuss activation of the HMAC. The decision to activate an HMAC should be based on one or more of the following criteria: </w:t>
      </w:r>
    </w:p>
    <w:p w:rsidRPr="00973978" w:rsidR="00973978" w:rsidP="00432267" w:rsidRDefault="00973978" w14:paraId="79299604" w14:textId="77777777">
      <w:pPr>
        <w:numPr>
          <w:ilvl w:val="0"/>
          <w:numId w:val="41"/>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Assistance is required beyond an organization’s current capabilities.</w:t>
      </w:r>
    </w:p>
    <w:p w:rsidRPr="00973978" w:rsidR="00973978" w:rsidP="00432267" w:rsidRDefault="00973978" w14:paraId="4B6D0081"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Multi-jurisdictional impact / outbreak.</w:t>
      </w:r>
    </w:p>
    <w:p w:rsidRPr="00973978" w:rsidR="00973978" w:rsidP="00432267" w:rsidRDefault="00973978" w14:paraId="2FB921D1"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The incident or event will affect two or more coalition members in the region.</w:t>
      </w:r>
    </w:p>
    <w:p w:rsidRPr="00973978" w:rsidR="00973978" w:rsidP="00432267" w:rsidRDefault="00973978" w14:paraId="6C53174E"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The incident or event will affect coalitions outside of the region.</w:t>
      </w:r>
    </w:p>
    <w:p w:rsidRPr="00973978" w:rsidR="00973978" w:rsidP="00432267" w:rsidRDefault="00973978" w14:paraId="4AB1F702"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Scarce resources may be required in multiple facilities.</w:t>
      </w:r>
    </w:p>
    <w:p w:rsidRPr="00973978" w:rsidR="00973978" w:rsidP="00432267" w:rsidRDefault="00973978" w14:paraId="285DE251"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Communication capability is limited.</w:t>
      </w:r>
    </w:p>
    <w:p w:rsidRPr="00973978" w:rsidR="00973978" w:rsidP="00432267" w:rsidRDefault="00973978" w14:paraId="34C0080E"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The incident or event will last multiple operational periods (more than 12 to 24 hours).</w:t>
      </w:r>
    </w:p>
    <w:p w:rsidRPr="00973978" w:rsidR="00973978" w:rsidP="00432267" w:rsidRDefault="00973978" w14:paraId="4601D7A1" w14:textId="77777777">
      <w:pPr>
        <w:numPr>
          <w:ilvl w:val="0"/>
          <w:numId w:val="40"/>
        </w:numPr>
        <w:spacing w:before="60" w:after="60" w:line="276" w:lineRule="auto"/>
        <w:ind w:left="1440"/>
        <w:contextualSpacing/>
        <w:rPr>
          <w:rFonts w:ascii="Calibri" w:hAnsi="Calibri" w:eastAsia="Times New Roman" w:cs="Times New Roman"/>
          <w:sz w:val="22"/>
          <w:lang w:bidi="en-US"/>
        </w:rPr>
      </w:pPr>
      <w:r w:rsidRPr="00973978">
        <w:rPr>
          <w:rFonts w:ascii="Calibri" w:hAnsi="Calibri" w:eastAsia="Times New Roman" w:cs="Times New Roman"/>
          <w:sz w:val="22"/>
          <w:lang w:bidi="en-US"/>
        </w:rPr>
        <w:t>Activation is requested by another health care coalition or jurisdiction.</w:t>
      </w:r>
    </w:p>
    <w:p w:rsidR="005A194A" w:rsidP="00261652" w:rsidRDefault="00436BD4" w14:paraId="75F0CDD6" w14:textId="77777777">
      <w:pPr>
        <w:pStyle w:val="Heading4"/>
      </w:pPr>
      <w:bookmarkStart w:name="_Toc103417381" w:id="52"/>
      <w:r>
        <w:t>2.3.1.2 Activation</w:t>
      </w:r>
      <w:bookmarkEnd w:id="52"/>
    </w:p>
    <w:p w:rsidRPr="0062411D" w:rsidR="0062411D" w:rsidP="00432267" w:rsidRDefault="0062411D" w14:paraId="32F958CA" w14:textId="0B04E23F">
      <w:pPr>
        <w:spacing w:before="120" w:after="120" w:line="240" w:lineRule="auto"/>
        <w:ind w:left="720"/>
        <w:rPr>
          <w:rFonts w:ascii="Calibri" w:hAnsi="Calibri" w:eastAsia="Times New Roman" w:cs="Times New Roman"/>
          <w:sz w:val="22"/>
          <w:lang w:bidi="en-US"/>
        </w:rPr>
      </w:pPr>
      <w:r w:rsidRPr="0062411D">
        <w:rPr>
          <w:rFonts w:ascii="Calibri" w:hAnsi="Calibri" w:eastAsia="Times New Roman" w:cs="Times New Roman"/>
          <w:sz w:val="22"/>
          <w:lang w:bidi="en-US"/>
        </w:rPr>
        <w:t xml:space="preserve">Following incident recognition, the HMAC will coordinate to determine the level of activation required from monitoring to a fully staffed response. </w:t>
      </w:r>
    </w:p>
    <w:p w:rsidRPr="0062411D" w:rsidR="0062411D" w:rsidP="0062411D" w:rsidRDefault="0062411D" w14:paraId="22D01666" w14:textId="24E801BB">
      <w:pPr>
        <w:spacing w:before="120" w:after="120" w:line="240" w:lineRule="auto"/>
        <w:ind w:left="0"/>
        <w:rPr>
          <w:rFonts w:ascii="Calibri" w:hAnsi="Calibri" w:eastAsia="Times New Roman" w:cs="Times New Roman"/>
          <w:sz w:val="22"/>
          <w:lang w:bidi="en-US"/>
        </w:rPr>
      </w:pPr>
      <w:r>
        <w:rPr>
          <w:noProof/>
        </w:rPr>
        <w:drawing>
          <wp:inline distT="0" distB="0" distL="0" distR="0" wp14:anchorId="73971BE0" wp14:editId="0AB18F68">
            <wp:extent cx="5943600" cy="1033145"/>
            <wp:effectExtent l="0" t="0" r="0" b="0"/>
            <wp:docPr id="21" name="Picture 21" descr="A picture containing text,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toiletry&#10;&#10;Description automatically generated"/>
                    <pic:cNvPicPr/>
                  </pic:nvPicPr>
                  <pic:blipFill>
                    <a:blip r:embed="rId21"/>
                    <a:stretch>
                      <a:fillRect/>
                    </a:stretch>
                  </pic:blipFill>
                  <pic:spPr>
                    <a:xfrm>
                      <a:off x="0" y="0"/>
                      <a:ext cx="5943600" cy="1033145"/>
                    </a:xfrm>
                    <a:prstGeom prst="rect">
                      <a:avLst/>
                    </a:prstGeom>
                  </pic:spPr>
                </pic:pic>
              </a:graphicData>
            </a:graphic>
          </wp:inline>
        </w:drawing>
      </w:r>
    </w:p>
    <w:p w:rsidRPr="0062411D" w:rsidR="0062411D" w:rsidP="0062411D" w:rsidRDefault="0062411D" w14:paraId="7FDC50D4" w14:textId="77777777">
      <w:pPr>
        <w:spacing w:before="120" w:after="120" w:line="240" w:lineRule="auto"/>
        <w:ind w:left="0"/>
        <w:rPr>
          <w:rFonts w:ascii="Calibri" w:hAnsi="Calibri" w:eastAsia="Times New Roman" w:cs="Times New Roman"/>
          <w:sz w:val="22"/>
          <w:lang w:bidi="en-US"/>
        </w:rPr>
      </w:pPr>
    </w:p>
    <w:p w:rsidRPr="0062411D" w:rsidR="008552D0" w:rsidP="00261652" w:rsidRDefault="002036EF" w14:paraId="0DD6E420" w14:textId="77777777">
      <w:pPr>
        <w:pStyle w:val="Heading4"/>
        <w:rPr>
          <w:rStyle w:val="Heading4Char"/>
          <w:i/>
        </w:rPr>
      </w:pPr>
      <w:bookmarkStart w:name="_Toc103417382" w:id="53"/>
      <w:r w:rsidRPr="0062411D">
        <w:rPr>
          <w:rStyle w:val="Heading4Char"/>
          <w:i/>
        </w:rPr>
        <w:t>2.3.1.3 Notifications</w:t>
      </w:r>
      <w:bookmarkEnd w:id="53"/>
    </w:p>
    <w:p w:rsidRPr="0062411D" w:rsidR="0062411D" w:rsidP="00432267" w:rsidRDefault="0062411D" w14:paraId="4339FF9E" w14:textId="77777777">
      <w:pPr>
        <w:spacing w:before="120" w:after="120" w:line="240" w:lineRule="auto"/>
        <w:ind w:left="720"/>
        <w:rPr>
          <w:rFonts w:ascii="Calibri" w:hAnsi="Calibri" w:eastAsia="Times New Roman" w:cs="Times New Roman"/>
          <w:bCs/>
          <w:sz w:val="22"/>
          <w:lang w:bidi="en-US"/>
        </w:rPr>
      </w:pPr>
      <w:r w:rsidRPr="0062411D">
        <w:rPr>
          <w:rFonts w:ascii="Calibri" w:hAnsi="Calibri" w:eastAsia="Times New Roman" w:cs="Times New Roman"/>
          <w:bCs/>
          <w:sz w:val="22"/>
          <w:lang w:bidi="en-US"/>
        </w:rPr>
        <w:t xml:space="preserve">Following the determination to activate an HMAC by the RHPC and Coalition representatives, the following activities need to occur: </w:t>
      </w:r>
    </w:p>
    <w:p w:rsidRPr="0062411D" w:rsidR="0062411D" w:rsidP="00432267" w:rsidRDefault="0062411D" w14:paraId="23103AA6" w14:textId="77777777">
      <w:pPr>
        <w:numPr>
          <w:ilvl w:val="0"/>
          <w:numId w:val="42"/>
        </w:numPr>
        <w:spacing w:before="60" w:after="60" w:line="240" w:lineRule="auto"/>
        <w:ind w:left="1080"/>
        <w:contextualSpacing/>
        <w:rPr>
          <w:rFonts w:ascii="Calibri" w:hAnsi="Calibri" w:eastAsia="Times New Roman" w:cs="Times New Roman"/>
          <w:sz w:val="22"/>
          <w:lang w:bidi="en-US"/>
        </w:rPr>
      </w:pPr>
      <w:r w:rsidRPr="0062411D">
        <w:rPr>
          <w:rFonts w:ascii="Calibri" w:hAnsi="Calibri" w:eastAsia="Times New Roman" w:cs="Times New Roman"/>
          <w:sz w:val="22"/>
          <w:lang w:bidi="en-US"/>
        </w:rPr>
        <w:t>The Minnesota Department of Health will be notified.</w:t>
      </w:r>
    </w:p>
    <w:p w:rsidRPr="0062411D" w:rsidR="0062411D" w:rsidP="00432267" w:rsidRDefault="0062411D" w14:paraId="40A6BB83" w14:textId="77777777">
      <w:pPr>
        <w:numPr>
          <w:ilvl w:val="0"/>
          <w:numId w:val="42"/>
        </w:numPr>
        <w:spacing w:before="60" w:after="60" w:line="240" w:lineRule="auto"/>
        <w:ind w:left="1080"/>
        <w:contextualSpacing/>
        <w:rPr>
          <w:rFonts w:ascii="Calibri" w:hAnsi="Calibri" w:eastAsia="Times New Roman" w:cs="Times New Roman"/>
          <w:sz w:val="22"/>
          <w:lang w:bidi="en-US"/>
        </w:rPr>
      </w:pPr>
      <w:r w:rsidRPr="0062411D">
        <w:rPr>
          <w:rFonts w:ascii="Calibri" w:hAnsi="Calibri" w:eastAsia="Times New Roman" w:cs="Times New Roman"/>
          <w:sz w:val="22"/>
          <w:lang w:bidi="en-US"/>
        </w:rPr>
        <w:t xml:space="preserve">Emergency Management in the affected area will be notified. </w:t>
      </w:r>
    </w:p>
    <w:p w:rsidRPr="0062411D" w:rsidR="0062411D" w:rsidP="00432267" w:rsidRDefault="0062411D" w14:paraId="577455D3" w14:textId="77777777">
      <w:pPr>
        <w:numPr>
          <w:ilvl w:val="0"/>
          <w:numId w:val="42"/>
        </w:numPr>
        <w:spacing w:before="60" w:after="60" w:line="240" w:lineRule="auto"/>
        <w:ind w:left="1080"/>
        <w:contextualSpacing/>
        <w:rPr>
          <w:rFonts w:ascii="Calibri" w:hAnsi="Calibri" w:eastAsia="Times New Roman" w:cs="Times New Roman"/>
          <w:sz w:val="22"/>
          <w:lang w:bidi="en-US"/>
        </w:rPr>
      </w:pPr>
      <w:r w:rsidRPr="0062411D">
        <w:rPr>
          <w:rFonts w:ascii="Calibri" w:hAnsi="Calibri" w:eastAsia="Times New Roman" w:cs="Times New Roman"/>
          <w:sz w:val="22"/>
          <w:lang w:bidi="en-US"/>
        </w:rPr>
        <w:lastRenderedPageBreak/>
        <w:t>The disciplines represented in the HMAC will notify their respective coalition members and partners of notification. For example, the Public Health representatives of the HMAC will notify their respective public health coalition members and partners via their pre-agreed upon plans and methods.</w:t>
      </w:r>
    </w:p>
    <w:p w:rsidRPr="0062411D" w:rsidR="0062411D" w:rsidP="00432267" w:rsidRDefault="0062411D" w14:paraId="250D5333" w14:textId="77777777">
      <w:pPr>
        <w:numPr>
          <w:ilvl w:val="0"/>
          <w:numId w:val="42"/>
        </w:numPr>
        <w:spacing w:before="60" w:after="60" w:line="240" w:lineRule="auto"/>
        <w:ind w:left="1080"/>
        <w:contextualSpacing/>
        <w:rPr>
          <w:rFonts w:ascii="Calibri" w:hAnsi="Calibri" w:eastAsia="Times New Roman" w:cs="Times New Roman"/>
          <w:sz w:val="22"/>
          <w:lang w:bidi="en-US"/>
        </w:rPr>
      </w:pPr>
      <w:r w:rsidRPr="0062411D">
        <w:rPr>
          <w:rFonts w:ascii="Calibri" w:hAnsi="Calibri" w:eastAsia="Times New Roman" w:cs="Times New Roman"/>
          <w:sz w:val="22"/>
          <w:lang w:bidi="en-US"/>
        </w:rPr>
        <w:t>Neighboring coalitions may need to be notified by the RHPC if the situation has that potential for escalation outside of regional borders or if additional resources or assistance is needed.</w:t>
      </w:r>
    </w:p>
    <w:p w:rsidRPr="0062411D" w:rsidR="0062411D" w:rsidP="4162B6B1" w:rsidRDefault="0062411D" w14:paraId="0B3D9350" w14:textId="320987FF">
      <w:pPr>
        <w:numPr>
          <w:ilvl w:val="0"/>
          <w:numId w:val="42"/>
        </w:numPr>
        <w:spacing w:before="60" w:after="60" w:line="240" w:lineRule="auto"/>
        <w:ind w:left="1080"/>
        <w:contextualSpacing/>
        <w:rPr>
          <w:rFonts w:ascii="Calibri" w:hAnsi="Calibri" w:eastAsia="Times New Roman" w:cs="Times New Roman"/>
          <w:sz w:val="22"/>
          <w:szCs w:val="22"/>
          <w:lang w:bidi="en-US"/>
        </w:rPr>
      </w:pPr>
      <w:r w:rsidRPr="4162B6B1" w:rsidR="38A2B616">
        <w:rPr>
          <w:rFonts w:ascii="Calibri" w:hAnsi="Calibri" w:eastAsia="Times New Roman" w:cs="Times New Roman"/>
          <w:sz w:val="22"/>
          <w:szCs w:val="22"/>
          <w:lang w:bidi="en-US"/>
        </w:rPr>
        <w:t>The RHPC will notify all hospitals affiliated clinics and skilled nursing facilities</w:t>
      </w:r>
      <w:r w:rsidRPr="4162B6B1" w:rsidR="38A2B616">
        <w:rPr>
          <w:rFonts w:ascii="Calibri" w:hAnsi="Calibri" w:eastAsia="Times New Roman" w:cs="Times New Roman"/>
          <w:sz w:val="22"/>
          <w:szCs w:val="22"/>
          <w:lang w:bidi="en-US"/>
        </w:rPr>
        <w:t xml:space="preserve">. </w:t>
      </w:r>
    </w:p>
    <w:p w:rsidRPr="0062411D" w:rsidR="0062411D" w:rsidP="00432267" w:rsidRDefault="0062411D" w14:paraId="544917FD" w14:textId="77777777">
      <w:pPr>
        <w:numPr>
          <w:ilvl w:val="0"/>
          <w:numId w:val="42"/>
        </w:numPr>
        <w:spacing w:before="60" w:after="60" w:line="240" w:lineRule="auto"/>
        <w:ind w:left="1080"/>
        <w:contextualSpacing/>
        <w:rPr>
          <w:rFonts w:ascii="Calibri" w:hAnsi="Calibri" w:eastAsia="Times New Roman" w:cs="Times New Roman"/>
          <w:sz w:val="22"/>
          <w:lang w:bidi="en-US"/>
        </w:rPr>
      </w:pPr>
      <w:r w:rsidRPr="0062411D">
        <w:rPr>
          <w:rFonts w:ascii="Calibri" w:hAnsi="Calibri" w:eastAsia="Times New Roman" w:cs="Times New Roman"/>
          <w:sz w:val="22"/>
          <w:lang w:bidi="en-US"/>
        </w:rPr>
        <w:t>When the HMAC is activated, the initial communication to regional partners and MDH will include HMAC contact information (including but not limited to the phone number and email address).</w:t>
      </w:r>
    </w:p>
    <w:p w:rsidRPr="0062411D" w:rsidR="0062411D" w:rsidP="4162B6B1" w:rsidRDefault="0062411D" w14:paraId="132A1A08" w14:textId="3454E1A6">
      <w:pPr>
        <w:numPr>
          <w:ilvl w:val="0"/>
          <w:numId w:val="42"/>
        </w:numPr>
        <w:spacing w:before="60" w:after="60" w:line="240" w:lineRule="auto"/>
        <w:ind w:left="1080"/>
        <w:contextualSpacing/>
        <w:rPr>
          <w:rFonts w:ascii="Calibri" w:hAnsi="Calibri" w:eastAsia="Times New Roman" w:cs="Times New Roman"/>
          <w:sz w:val="22"/>
          <w:szCs w:val="22"/>
          <w:lang w:bidi="en-US"/>
        </w:rPr>
      </w:pPr>
      <w:r w:rsidRPr="4162B6B1" w:rsidR="38A2B616">
        <w:rPr>
          <w:rFonts w:ascii="Calibri" w:hAnsi="Calibri" w:eastAsia="Times New Roman" w:cs="Times New Roman"/>
          <w:sz w:val="22"/>
          <w:szCs w:val="22"/>
          <w:lang w:bidi="en-US"/>
        </w:rPr>
        <w:t>The HMAC may use a pre-designed Survey Monkey survey to gather a Situation Report from Coalition members</w:t>
      </w:r>
      <w:r w:rsidRPr="4162B6B1" w:rsidR="38A2B616">
        <w:rPr>
          <w:rFonts w:ascii="Calibri" w:hAnsi="Calibri" w:eastAsia="Times New Roman" w:cs="Times New Roman"/>
          <w:sz w:val="22"/>
          <w:szCs w:val="22"/>
          <w:lang w:bidi="en-US"/>
        </w:rPr>
        <w:t xml:space="preserve">. </w:t>
      </w:r>
      <w:r w:rsidRPr="4162B6B1" w:rsidR="38A2B616">
        <w:rPr>
          <w:rFonts w:ascii="Calibri" w:hAnsi="Calibri" w:eastAsia="Times New Roman" w:cs="Times New Roman"/>
          <w:sz w:val="22"/>
          <w:szCs w:val="22"/>
          <w:lang w:bidi="en-US"/>
        </w:rPr>
        <w:t>If this cannot be completed by Survey Monkey, the information will be gathered by phone or email</w:t>
      </w:r>
      <w:r w:rsidRPr="4162B6B1" w:rsidR="38A2B616">
        <w:rPr>
          <w:rFonts w:ascii="Calibri" w:hAnsi="Calibri" w:eastAsia="Times New Roman" w:cs="Times New Roman"/>
          <w:sz w:val="22"/>
          <w:szCs w:val="22"/>
          <w:lang w:bidi="en-US"/>
        </w:rPr>
        <w:t xml:space="preserve">. </w:t>
      </w:r>
    </w:p>
    <w:p w:rsidRPr="008B6EA9" w:rsidR="009C3221" w:rsidP="00432267" w:rsidRDefault="009C3221" w14:paraId="51E44701" w14:textId="378C0BEE">
      <w:pPr>
        <w:spacing w:before="0" w:line="276" w:lineRule="auto"/>
        <w:ind w:left="720"/>
        <w:jc w:val="both"/>
        <w:rPr>
          <w:sz w:val="22"/>
        </w:rPr>
      </w:pPr>
      <w:r w:rsidRPr="008B6EA9">
        <w:rPr>
          <w:sz w:val="22"/>
        </w:rPr>
        <w:t xml:space="preserve">See Appendix 3.3 </w:t>
      </w:r>
      <w:r w:rsidRPr="008B6EA9" w:rsidR="00CE4927">
        <w:rPr>
          <w:sz w:val="22"/>
        </w:rPr>
        <w:t>HCC Coordination Job Aids – Position Descriptions</w:t>
      </w:r>
    </w:p>
    <w:p w:rsidRPr="008B6EA9" w:rsidR="0082387F" w:rsidP="00432267" w:rsidRDefault="00E07E11" w14:paraId="3D84C5E2" w14:textId="2358D1B2">
      <w:pPr>
        <w:spacing w:before="0" w:line="276" w:lineRule="auto"/>
        <w:ind w:left="720"/>
        <w:jc w:val="both"/>
        <w:rPr>
          <w:sz w:val="22"/>
        </w:rPr>
      </w:pPr>
      <w:r w:rsidRPr="008B6EA9">
        <w:rPr>
          <w:sz w:val="22"/>
        </w:rPr>
        <w:t xml:space="preserve">See Appendix </w:t>
      </w:r>
      <w:r w:rsidRPr="008B6EA9" w:rsidR="00296576">
        <w:rPr>
          <w:sz w:val="22"/>
        </w:rPr>
        <w:t>3.4.</w:t>
      </w:r>
      <w:r w:rsidRPr="008B6EA9" w:rsidR="002E0695">
        <w:rPr>
          <w:sz w:val="22"/>
        </w:rPr>
        <w:t>2</w:t>
      </w:r>
      <w:r w:rsidRPr="008B6EA9" w:rsidR="00296576">
        <w:rPr>
          <w:sz w:val="22"/>
        </w:rPr>
        <w:t xml:space="preserve"> Essential Elements of Information</w:t>
      </w:r>
    </w:p>
    <w:p w:rsidRPr="008B6EA9" w:rsidR="00296576" w:rsidP="00432267" w:rsidRDefault="00296576" w14:paraId="29A844BF" w14:textId="4A152CC0">
      <w:pPr>
        <w:spacing w:before="0" w:line="276" w:lineRule="auto"/>
        <w:ind w:left="720"/>
        <w:jc w:val="both"/>
        <w:rPr>
          <w:sz w:val="22"/>
        </w:rPr>
      </w:pPr>
      <w:r w:rsidRPr="008B6EA9">
        <w:rPr>
          <w:sz w:val="22"/>
        </w:rPr>
        <w:t>See Appendix 3.4.</w:t>
      </w:r>
      <w:r w:rsidRPr="008B6EA9" w:rsidR="002E0695">
        <w:rPr>
          <w:sz w:val="22"/>
        </w:rPr>
        <w:t>2.1</w:t>
      </w:r>
      <w:r w:rsidRPr="008B6EA9">
        <w:rPr>
          <w:sz w:val="22"/>
        </w:rPr>
        <w:t xml:space="preserve"> Essential Elements of Information Template</w:t>
      </w:r>
    </w:p>
    <w:p w:rsidR="00835BCF" w:rsidP="00C72EBC" w:rsidRDefault="00835BCF" w14:paraId="4A379538" w14:textId="77777777">
      <w:pPr>
        <w:spacing w:before="0" w:line="276" w:lineRule="auto"/>
        <w:jc w:val="both"/>
      </w:pPr>
    </w:p>
    <w:p w:rsidR="00983B16" w:rsidP="00261652" w:rsidRDefault="00983B16" w14:paraId="516464F4" w14:textId="77777777">
      <w:pPr>
        <w:pStyle w:val="Heading4"/>
      </w:pPr>
      <w:bookmarkStart w:name="_Toc103417383" w:id="54"/>
      <w:r>
        <w:t>2.3.1.</w:t>
      </w:r>
      <w:r w:rsidR="005A55E8">
        <w:t>4 Mobilization</w:t>
      </w:r>
      <w:bookmarkEnd w:id="54"/>
    </w:p>
    <w:p w:rsidRPr="008B6EA9" w:rsidR="008B6EA9" w:rsidP="000533C4" w:rsidRDefault="008B6EA9" w14:paraId="6FAF3CCC" w14:textId="77777777">
      <w:pPr>
        <w:spacing w:before="0" w:line="276" w:lineRule="auto"/>
        <w:ind w:left="720"/>
        <w:rPr>
          <w:rFonts w:ascii="Calibri" w:hAnsi="Calibri" w:eastAsia="Times New Roman" w:cs="Times New Roman"/>
          <w:sz w:val="22"/>
          <w:lang w:bidi="en-US"/>
        </w:rPr>
      </w:pPr>
      <w:r w:rsidRPr="008B6EA9">
        <w:rPr>
          <w:rFonts w:ascii="Calibri" w:hAnsi="Calibri" w:eastAsia="Times New Roman" w:cs="Times New Roman"/>
          <w:sz w:val="22"/>
          <w:lang w:bidi="en-US"/>
        </w:rPr>
        <w:t xml:space="preserve">The HMAC will mobilize virtually via phone, MNTrac Coordination Room, WebEx, phone, or physically at a pre-identified site if warranted. </w:t>
      </w:r>
    </w:p>
    <w:p w:rsidR="00FD08EC" w:rsidP="00FD08EC" w:rsidRDefault="00FD08EC" w14:paraId="4018E303" w14:textId="77777777">
      <w:pPr>
        <w:spacing w:line="276" w:lineRule="auto"/>
        <w:ind w:left="3600"/>
      </w:pPr>
    </w:p>
    <w:p w:rsidR="00315685" w:rsidP="000533C4" w:rsidRDefault="00624439" w14:paraId="1DAE2446" w14:textId="77777777">
      <w:pPr>
        <w:pStyle w:val="ListParagraph"/>
        <w:numPr>
          <w:ilvl w:val="3"/>
          <w:numId w:val="25"/>
        </w:numPr>
        <w:spacing w:before="0" w:after="240" w:line="276" w:lineRule="auto"/>
        <w:ind w:left="720" w:hanging="10"/>
        <w:jc w:val="both"/>
      </w:pPr>
      <w:bookmarkStart w:name="_Toc103417384" w:id="55"/>
      <w:r w:rsidRPr="7F36C951">
        <w:rPr>
          <w:rStyle w:val="Heading4Char"/>
        </w:rPr>
        <w:t>Incident Operations</w:t>
      </w:r>
      <w:bookmarkEnd w:id="55"/>
    </w:p>
    <w:p w:rsidR="00315685" w:rsidP="000533C4" w:rsidRDefault="00315685" w14:paraId="22ADA0A2" w14:textId="77984070">
      <w:pPr>
        <w:pStyle w:val="ListParagraph"/>
        <w:spacing w:before="0" w:line="276" w:lineRule="auto"/>
        <w:jc w:val="both"/>
        <w:rPr>
          <w:sz w:val="22"/>
        </w:rPr>
      </w:pPr>
      <w:r w:rsidRPr="00437745">
        <w:rPr>
          <w:sz w:val="22"/>
        </w:rPr>
        <w:t>Based on the principles in the Medical Surge Capacity and Capability (MSCC) Management System, the coalition will use a tiered and scalable approach to coordinate with the varied health care organizations in the Central Region, and to align with other response groups in the region operating under the Incident Command System (ICS).</w:t>
      </w:r>
    </w:p>
    <w:p w:rsidRPr="00437745" w:rsidR="00437745" w:rsidP="000533C4" w:rsidRDefault="00437745" w14:paraId="26ED08AB" w14:textId="72B0DF33">
      <w:pPr>
        <w:pStyle w:val="ListParagraph"/>
        <w:spacing w:before="0" w:line="276" w:lineRule="auto"/>
        <w:jc w:val="both"/>
        <w:rPr>
          <w:sz w:val="22"/>
        </w:rPr>
      </w:pPr>
      <w:r>
        <w:rPr>
          <w:sz w:val="22"/>
        </w:rPr>
        <w:t>(</w:t>
      </w:r>
      <w:r w:rsidRPr="00AB47D0">
        <w:rPr>
          <w:sz w:val="22"/>
        </w:rPr>
        <w:t>See</w:t>
      </w:r>
      <w:r w:rsidRPr="00AB47D0" w:rsidR="00AB47D0">
        <w:rPr>
          <w:sz w:val="22"/>
        </w:rPr>
        <w:t xml:space="preserve"> </w:t>
      </w:r>
      <w:hyperlink w:history="1" r:id="rId22">
        <w:r w:rsidRPr="00AB47D0" w:rsidR="00AB47D0">
          <w:rPr>
            <w:rStyle w:val="Hyperlink"/>
            <w:sz w:val="22"/>
          </w:rPr>
          <w:t>Emergency Management Institute | ICS Fillable Forms (fema.gov)</w:t>
        </w:r>
      </w:hyperlink>
      <w:r w:rsidR="00AB47D0">
        <w:rPr>
          <w:sz w:val="22"/>
        </w:rPr>
        <w:t>)</w:t>
      </w:r>
    </w:p>
    <w:p w:rsidR="00AB47D0" w:rsidP="4162B6B1" w:rsidRDefault="00315685" w14:paraId="4DA98B38" w14:textId="6FBC3B50">
      <w:pPr>
        <w:spacing w:before="0" w:line="276" w:lineRule="auto"/>
        <w:ind w:left="720"/>
        <w:jc w:val="both"/>
        <w:rPr>
          <w:rFonts w:cs="Arial"/>
          <w:sz w:val="22"/>
          <w:szCs w:val="22"/>
        </w:rPr>
      </w:pPr>
      <w:r w:rsidRPr="4162B6B1" w:rsidR="09157AB2">
        <w:rPr>
          <w:rFonts w:cs="Arial"/>
          <w:sz w:val="22"/>
          <w:szCs w:val="22"/>
        </w:rPr>
        <w:t>When activated, roles and responsibilities will be assigned by the RHPC or others, as necessary</w:t>
      </w:r>
      <w:r w:rsidRPr="4162B6B1" w:rsidR="09157AB2">
        <w:rPr>
          <w:rFonts w:cs="Arial"/>
          <w:sz w:val="22"/>
          <w:szCs w:val="22"/>
        </w:rPr>
        <w:t xml:space="preserve">. </w:t>
      </w:r>
    </w:p>
    <w:p w:rsidR="00315685" w:rsidP="000533C4" w:rsidRDefault="00AB47D0" w14:paraId="3C7FF84A" w14:textId="2E1A12EC">
      <w:pPr>
        <w:spacing w:before="0" w:line="276" w:lineRule="auto"/>
        <w:ind w:left="720"/>
        <w:jc w:val="both"/>
        <w:rPr>
          <w:sz w:val="22"/>
        </w:rPr>
      </w:pPr>
      <w:r w:rsidRPr="00AB47D0">
        <w:rPr>
          <w:rFonts w:cs="Arial"/>
          <w:sz w:val="22"/>
        </w:rPr>
        <w:t>(</w:t>
      </w:r>
      <w:r w:rsidRPr="00AB47D0" w:rsidR="00315685">
        <w:rPr>
          <w:rFonts w:cs="Arial"/>
          <w:sz w:val="22"/>
        </w:rPr>
        <w:t xml:space="preserve">See </w:t>
      </w:r>
      <w:hyperlink w:history="1" r:id="rId23">
        <w:r w:rsidRPr="00AB47D0">
          <w:rPr>
            <w:rStyle w:val="Hyperlink"/>
            <w:sz w:val="22"/>
          </w:rPr>
          <w:t>Incident Action Planning Guide Revision 1 / July 2015 (fema.gov)</w:t>
        </w:r>
      </w:hyperlink>
      <w:r w:rsidRPr="00AB47D0">
        <w:rPr>
          <w:sz w:val="22"/>
        </w:rPr>
        <w:t xml:space="preserve"> (Note – the Planning P on page 8)</w:t>
      </w:r>
      <w:r>
        <w:rPr>
          <w:sz w:val="22"/>
        </w:rPr>
        <w:t xml:space="preserve">   </w:t>
      </w:r>
    </w:p>
    <w:p w:rsidRPr="00315685" w:rsidR="00BF73D4" w:rsidP="000533C4" w:rsidRDefault="00DF033C" w14:paraId="3A869A10" w14:textId="77777777">
      <w:pPr>
        <w:pStyle w:val="Heading5"/>
      </w:pPr>
      <w:r w:rsidRPr="00315685">
        <w:t>2.3.1.5.1 Initial Coalition Actions</w:t>
      </w:r>
    </w:p>
    <w:p w:rsidRPr="00315685" w:rsidR="00315685" w:rsidP="000533C4" w:rsidRDefault="00315685" w14:paraId="23F48F90" w14:textId="77777777">
      <w:pPr>
        <w:spacing w:before="0" w:after="120" w:line="276" w:lineRule="auto"/>
        <w:rPr>
          <w:rFonts w:ascii="Calibri" w:hAnsi="Calibri" w:eastAsia="Times New Roman" w:cs="Arial"/>
          <w:sz w:val="22"/>
          <w:lang w:bidi="en-US"/>
        </w:rPr>
      </w:pPr>
      <w:r w:rsidRPr="00315685">
        <w:rPr>
          <w:rFonts w:ascii="Calibri" w:hAnsi="Calibri" w:eastAsia="Times New Roman" w:cs="Arial"/>
          <w:sz w:val="22"/>
          <w:lang w:bidi="en-US"/>
        </w:rPr>
        <w:t>Each HMAC representative will implement the following procedures to fulfill their functions:</w:t>
      </w:r>
    </w:p>
    <w:p w:rsidRPr="00315685" w:rsidR="00315685" w:rsidP="000533C4" w:rsidRDefault="00315685" w14:paraId="78343D08" w14:textId="77777777">
      <w:pPr>
        <w:keepNext/>
        <w:spacing w:before="0" w:after="120" w:line="276" w:lineRule="auto"/>
        <w:outlineLvl w:val="3"/>
        <w:rPr>
          <w:rStyle w:val="IntenseEmphasis"/>
          <w:lang w:bidi="en-US"/>
        </w:rPr>
      </w:pPr>
      <w:r w:rsidRPr="00315685">
        <w:rPr>
          <w:rStyle w:val="IntenseEmphasis"/>
          <w:lang w:bidi="en-US"/>
        </w:rPr>
        <w:t>Briefings:</w:t>
      </w:r>
    </w:p>
    <w:p w:rsidRPr="00315685" w:rsidR="00315685" w:rsidP="00315685" w:rsidRDefault="00315685" w14:paraId="0716652E" w14:textId="77777777">
      <w:pPr>
        <w:numPr>
          <w:ilvl w:val="0"/>
          <w:numId w:val="17"/>
        </w:numPr>
        <w:spacing w:before="60" w:after="60" w:line="276" w:lineRule="auto"/>
        <w:ind w:left="2160"/>
        <w:contextualSpacing/>
        <w:rPr>
          <w:rFonts w:ascii="Calibri" w:hAnsi="Calibri" w:eastAsia="Times New Roman" w:cs="Times New Roman"/>
          <w:sz w:val="22"/>
          <w:lang w:bidi="en-US"/>
        </w:rPr>
      </w:pPr>
      <w:r w:rsidRPr="00315685">
        <w:rPr>
          <w:rFonts w:ascii="Calibri" w:hAnsi="Calibri" w:eastAsia="Times New Roman" w:cs="Times New Roman"/>
          <w:sz w:val="22"/>
          <w:lang w:bidi="en-US"/>
        </w:rPr>
        <w:t>Identify how and when briefings are held</w:t>
      </w:r>
    </w:p>
    <w:p w:rsidRPr="00315685" w:rsidR="00315685" w:rsidP="00315685" w:rsidRDefault="00315685" w14:paraId="01344033" w14:textId="77777777">
      <w:pPr>
        <w:numPr>
          <w:ilvl w:val="0"/>
          <w:numId w:val="17"/>
        </w:numPr>
        <w:spacing w:before="60" w:after="60" w:line="276" w:lineRule="auto"/>
        <w:ind w:left="2160"/>
        <w:contextualSpacing/>
        <w:rPr>
          <w:rFonts w:ascii="Calibri" w:hAnsi="Calibri" w:eastAsia="Times New Roman" w:cs="Times New Roman"/>
          <w:sz w:val="22"/>
          <w:lang w:bidi="en-US"/>
        </w:rPr>
      </w:pPr>
      <w:r w:rsidRPr="00315685">
        <w:rPr>
          <w:rFonts w:ascii="Calibri" w:hAnsi="Calibri" w:eastAsia="Times New Roman" w:cs="Times New Roman"/>
          <w:sz w:val="22"/>
          <w:lang w:bidi="en-US"/>
        </w:rPr>
        <w:t>Gather information and provide current situation update, probable future situation report</w:t>
      </w:r>
    </w:p>
    <w:p w:rsidRPr="00315685" w:rsidR="00315685" w:rsidP="00315685" w:rsidRDefault="00315685" w14:paraId="4C8F97A1" w14:textId="77777777">
      <w:pPr>
        <w:numPr>
          <w:ilvl w:val="0"/>
          <w:numId w:val="17"/>
        </w:numPr>
        <w:spacing w:before="60" w:after="60" w:line="276" w:lineRule="auto"/>
        <w:ind w:left="2160"/>
        <w:contextualSpacing/>
        <w:rPr>
          <w:rFonts w:ascii="Calibri" w:hAnsi="Calibri" w:eastAsia="Times New Roman" w:cs="Times New Roman"/>
          <w:sz w:val="22"/>
          <w:lang w:bidi="en-US"/>
        </w:rPr>
      </w:pPr>
      <w:r w:rsidRPr="00315685">
        <w:rPr>
          <w:rFonts w:ascii="Calibri" w:hAnsi="Calibri" w:eastAsia="Times New Roman" w:cs="Times New Roman"/>
          <w:sz w:val="22"/>
          <w:lang w:bidi="en-US"/>
        </w:rPr>
        <w:t>Describe current issues</w:t>
      </w:r>
    </w:p>
    <w:p w:rsidRPr="00315685" w:rsidR="00315685" w:rsidP="00315685" w:rsidRDefault="00315685" w14:paraId="3BB8D0AF" w14:textId="77777777">
      <w:pPr>
        <w:numPr>
          <w:ilvl w:val="0"/>
          <w:numId w:val="17"/>
        </w:numPr>
        <w:spacing w:before="60" w:after="60" w:line="276" w:lineRule="auto"/>
        <w:ind w:left="2160"/>
        <w:contextualSpacing/>
        <w:rPr>
          <w:rFonts w:ascii="Calibri" w:hAnsi="Calibri" w:eastAsia="Times New Roman" w:cs="Times New Roman"/>
          <w:sz w:val="22"/>
          <w:lang w:bidi="en-US"/>
        </w:rPr>
      </w:pPr>
      <w:r w:rsidRPr="00315685">
        <w:rPr>
          <w:rFonts w:ascii="Calibri" w:hAnsi="Calibri" w:eastAsia="Times New Roman" w:cs="Times New Roman"/>
          <w:sz w:val="22"/>
          <w:lang w:bidi="en-US"/>
        </w:rPr>
        <w:t>Introduce new issues</w:t>
      </w:r>
    </w:p>
    <w:p w:rsidRPr="00315685" w:rsidR="00315685" w:rsidP="00315685" w:rsidRDefault="00315685" w14:paraId="3C2A9CAC" w14:textId="77777777">
      <w:pPr>
        <w:numPr>
          <w:ilvl w:val="0"/>
          <w:numId w:val="17"/>
        </w:numPr>
        <w:spacing w:before="60" w:after="60" w:line="276" w:lineRule="auto"/>
        <w:ind w:left="2160"/>
        <w:contextualSpacing/>
        <w:rPr>
          <w:rFonts w:ascii="Calibri" w:hAnsi="Calibri" w:eastAsia="Times New Roman" w:cs="Times New Roman"/>
          <w:sz w:val="22"/>
          <w:lang w:bidi="en-US"/>
        </w:rPr>
      </w:pPr>
      <w:r w:rsidRPr="00315685">
        <w:rPr>
          <w:rFonts w:ascii="Calibri" w:hAnsi="Calibri" w:eastAsia="Times New Roman" w:cs="Times New Roman"/>
          <w:sz w:val="22"/>
          <w:lang w:bidi="en-US"/>
        </w:rPr>
        <w:t>Address questions and offer clarification</w:t>
      </w:r>
    </w:p>
    <w:p w:rsidRPr="00315685" w:rsidR="00315685" w:rsidP="00315685" w:rsidRDefault="00315685" w14:paraId="49C936D2" w14:textId="77777777">
      <w:pPr>
        <w:keepNext/>
        <w:spacing w:before="0" w:after="120" w:line="276" w:lineRule="auto"/>
        <w:outlineLvl w:val="3"/>
        <w:rPr>
          <w:rFonts w:ascii="Calibri" w:hAnsi="Calibri" w:eastAsia="Times New Roman" w:cs="Times New Roman"/>
          <w:b/>
          <w:i/>
          <w:szCs w:val="24"/>
          <w:lang w:bidi="en-US"/>
        </w:rPr>
      </w:pPr>
      <w:r w:rsidRPr="00315685">
        <w:rPr>
          <w:rStyle w:val="IntenseEmphasis"/>
          <w:lang w:bidi="en-US"/>
        </w:rPr>
        <w:lastRenderedPageBreak/>
        <w:t>Decisions</w:t>
      </w:r>
      <w:r w:rsidRPr="00315685">
        <w:rPr>
          <w:rFonts w:ascii="Calibri" w:hAnsi="Calibri" w:eastAsia="Times New Roman" w:cs="Times New Roman"/>
          <w:b/>
          <w:i/>
          <w:szCs w:val="24"/>
          <w:lang w:bidi="en-US"/>
        </w:rPr>
        <w:t>:</w:t>
      </w:r>
    </w:p>
    <w:p w:rsidRPr="00315685" w:rsidR="00315685" w:rsidP="00315685" w:rsidRDefault="00315685" w14:paraId="4748E2F1" w14:textId="77777777">
      <w:pPr>
        <w:pStyle w:val="ListParagraph"/>
        <w:numPr>
          <w:ilvl w:val="0"/>
          <w:numId w:val="43"/>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Review criteria to establish priorities</w:t>
      </w:r>
    </w:p>
    <w:p w:rsidRPr="00315685" w:rsidR="00315685" w:rsidP="00315685" w:rsidRDefault="00315685" w14:paraId="52370A6C" w14:textId="77777777">
      <w:pPr>
        <w:pStyle w:val="ListParagraph"/>
        <w:numPr>
          <w:ilvl w:val="0"/>
          <w:numId w:val="43"/>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Prioritize incidents, if necessary</w:t>
      </w:r>
    </w:p>
    <w:p w:rsidRPr="00315685" w:rsidR="00315685" w:rsidP="00315685" w:rsidRDefault="00315685" w14:paraId="2497A707" w14:textId="77777777">
      <w:pPr>
        <w:pStyle w:val="ListParagraph"/>
        <w:numPr>
          <w:ilvl w:val="0"/>
          <w:numId w:val="43"/>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Support allocation of regional Health and Medical resources, if necessary</w:t>
      </w:r>
    </w:p>
    <w:p w:rsidRPr="00315685" w:rsidR="00315685" w:rsidP="00315685" w:rsidRDefault="00315685" w14:paraId="68EF908E" w14:textId="77777777">
      <w:pPr>
        <w:pStyle w:val="ListParagraph"/>
        <w:numPr>
          <w:ilvl w:val="0"/>
          <w:numId w:val="43"/>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Notify involved agencies and facilities if a Joint Information Center is opened in the region</w:t>
      </w:r>
    </w:p>
    <w:p w:rsidRPr="00315685" w:rsidR="00315685" w:rsidP="00315685" w:rsidRDefault="00315685" w14:paraId="49898FB2" w14:textId="77777777">
      <w:pPr>
        <w:pStyle w:val="ListParagraph"/>
        <w:numPr>
          <w:ilvl w:val="0"/>
          <w:numId w:val="43"/>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Consider implementation strategies for resource and information requests</w:t>
      </w:r>
    </w:p>
    <w:p w:rsidRPr="00315685" w:rsidR="00315685" w:rsidP="00315685" w:rsidRDefault="00315685" w14:paraId="3D5A8006" w14:textId="358BCA78">
      <w:pPr>
        <w:pStyle w:val="ListParagraph"/>
        <w:numPr>
          <w:ilvl w:val="0"/>
          <w:numId w:val="43"/>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Identify and determine operational period</w:t>
      </w:r>
    </w:p>
    <w:p w:rsidRPr="00315685" w:rsidR="00315685" w:rsidP="00315685" w:rsidRDefault="00315685" w14:paraId="4EE33961" w14:textId="77777777">
      <w:pPr>
        <w:spacing w:before="60" w:after="60" w:line="276" w:lineRule="auto"/>
        <w:ind w:left="2160" w:hanging="360"/>
        <w:contextualSpacing/>
        <w:rPr>
          <w:rFonts w:ascii="Calibri" w:hAnsi="Calibri" w:eastAsia="Times New Roman" w:cs="Times New Roman"/>
          <w:sz w:val="22"/>
          <w:lang w:bidi="en-US"/>
        </w:rPr>
      </w:pPr>
    </w:p>
    <w:p w:rsidRPr="00315685" w:rsidR="00315685" w:rsidP="00315685" w:rsidRDefault="00315685" w14:paraId="53EE3048" w14:textId="77777777">
      <w:pPr>
        <w:keepNext/>
        <w:spacing w:before="0" w:after="120" w:line="276" w:lineRule="auto"/>
        <w:outlineLvl w:val="3"/>
        <w:rPr>
          <w:rStyle w:val="IntenseEmphasis"/>
          <w:lang w:bidi="en-US"/>
        </w:rPr>
      </w:pPr>
      <w:r w:rsidRPr="00315685">
        <w:rPr>
          <w:rStyle w:val="IntenseEmphasis"/>
          <w:lang w:bidi="en-US"/>
        </w:rPr>
        <w:t>HMAC Documentation:</w:t>
      </w:r>
    </w:p>
    <w:p w:rsidRPr="00315685" w:rsidR="00315685" w:rsidP="00315685" w:rsidRDefault="00315685" w14:paraId="73BF2CA5" w14:textId="77777777">
      <w:pPr>
        <w:pStyle w:val="ListParagraph"/>
        <w:numPr>
          <w:ilvl w:val="0"/>
          <w:numId w:val="44"/>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Develop and communicate an HMAC Incident Action Plan for each operational period</w:t>
      </w:r>
    </w:p>
    <w:p w:rsidRPr="00315685" w:rsidR="00315685" w:rsidP="00315685" w:rsidRDefault="00315685" w14:paraId="0820A4C4" w14:textId="77777777">
      <w:pPr>
        <w:pStyle w:val="ListParagraph"/>
        <w:numPr>
          <w:ilvl w:val="0"/>
          <w:numId w:val="44"/>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Meeting notes and decisions will be recorded and communicated to appropriate staff and external partners</w:t>
      </w:r>
    </w:p>
    <w:p w:rsidRPr="00315685" w:rsidR="00315685" w:rsidP="00315685" w:rsidRDefault="00315685" w14:paraId="675D9931" w14:textId="77777777">
      <w:pPr>
        <w:pStyle w:val="ListParagraph"/>
        <w:numPr>
          <w:ilvl w:val="0"/>
          <w:numId w:val="44"/>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Decisions requiring financial commitments (including staff time) will be recorded</w:t>
      </w:r>
    </w:p>
    <w:p w:rsidRPr="00315685" w:rsidR="00315685" w:rsidP="00315685" w:rsidRDefault="00315685" w14:paraId="0CCACA2A" w14:textId="77777777">
      <w:pPr>
        <w:pStyle w:val="ListParagraph"/>
        <w:numPr>
          <w:ilvl w:val="0"/>
          <w:numId w:val="44"/>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Situational reports will be compiled as needed</w:t>
      </w:r>
    </w:p>
    <w:p w:rsidR="00315685" w:rsidP="00315685" w:rsidRDefault="00315685" w14:paraId="5ABA6D2C" w14:textId="32986EDC">
      <w:pPr>
        <w:pStyle w:val="ListParagraph"/>
        <w:numPr>
          <w:ilvl w:val="0"/>
          <w:numId w:val="44"/>
        </w:numPr>
        <w:spacing w:before="60" w:after="60" w:line="276" w:lineRule="auto"/>
        <w:rPr>
          <w:rFonts w:ascii="Calibri" w:hAnsi="Calibri" w:eastAsia="Times New Roman" w:cs="Times New Roman"/>
          <w:sz w:val="22"/>
          <w:lang w:bidi="en-US"/>
        </w:rPr>
      </w:pPr>
      <w:r w:rsidRPr="00315685">
        <w:rPr>
          <w:rFonts w:ascii="Calibri" w:hAnsi="Calibri" w:eastAsia="Times New Roman" w:cs="Times New Roman"/>
          <w:sz w:val="22"/>
          <w:lang w:bidi="en-US"/>
        </w:rPr>
        <w:t>ICS Forms will be used as needed</w:t>
      </w:r>
    </w:p>
    <w:p w:rsidRPr="00315685" w:rsidR="003B20E5" w:rsidP="003B20E5" w:rsidRDefault="003B20E5" w14:paraId="1CE1AB24" w14:textId="77777777">
      <w:pPr>
        <w:pStyle w:val="ListParagraph"/>
        <w:spacing w:before="60" w:after="60" w:line="276" w:lineRule="auto"/>
        <w:ind w:left="2160"/>
        <w:rPr>
          <w:rFonts w:ascii="Calibri" w:hAnsi="Calibri" w:eastAsia="Times New Roman" w:cs="Times New Roman"/>
          <w:sz w:val="22"/>
          <w:lang w:bidi="en-US"/>
        </w:rPr>
      </w:pPr>
    </w:p>
    <w:p w:rsidR="00AD3E60" w:rsidP="000533C4" w:rsidRDefault="00AD3E60" w14:paraId="510F45E7" w14:textId="77777777">
      <w:pPr>
        <w:pStyle w:val="Heading5"/>
      </w:pPr>
      <w:r>
        <w:t xml:space="preserve">2.3.1.5.2 </w:t>
      </w:r>
      <w:r w:rsidR="000442B3">
        <w:t>Ongoing Coalition Actions</w:t>
      </w:r>
    </w:p>
    <w:p w:rsidRPr="003B20E5" w:rsidR="003B20E5" w:rsidP="4162B6B1" w:rsidRDefault="003B20E5" w14:paraId="72C494B0" w14:textId="4A40E423">
      <w:pPr>
        <w:spacing w:before="120" w:after="120" w:line="276" w:lineRule="auto"/>
        <w:rPr>
          <w:rFonts w:ascii="Calibri" w:hAnsi="Calibri" w:eastAsia="Times New Roman" w:cs="Times New Roman"/>
          <w:sz w:val="22"/>
          <w:szCs w:val="22"/>
          <w:lang w:bidi="en-US"/>
        </w:rPr>
      </w:pPr>
      <w:r w:rsidRPr="4162B6B1" w:rsidR="62F10A56">
        <w:rPr>
          <w:rFonts w:ascii="Calibri" w:hAnsi="Calibri" w:eastAsia="Times New Roman" w:cs="Times New Roman"/>
          <w:sz w:val="22"/>
          <w:szCs w:val="22"/>
          <w:lang w:bidi="en-US"/>
        </w:rPr>
        <w:t xml:space="preserve">During the incident response, the HMAC will continue to gain situational awareness and respond to requests for support. If the HMAC is open for an extended </w:t>
      </w:r>
      <w:r w:rsidRPr="4162B6B1" w:rsidR="62F10A56">
        <w:rPr>
          <w:rFonts w:ascii="Calibri" w:hAnsi="Calibri" w:eastAsia="Times New Roman" w:cs="Times New Roman"/>
          <w:sz w:val="22"/>
          <w:szCs w:val="22"/>
          <w:lang w:bidi="en-US"/>
        </w:rPr>
        <w:t>period</w:t>
      </w:r>
      <w:r w:rsidRPr="4162B6B1" w:rsidR="62F10A56">
        <w:rPr>
          <w:rFonts w:ascii="Calibri" w:hAnsi="Calibri" w:eastAsia="Times New Roman" w:cs="Times New Roman"/>
          <w:sz w:val="22"/>
          <w:szCs w:val="22"/>
          <w:lang w:bidi="en-US"/>
        </w:rPr>
        <w:t xml:space="preserve">, the RHPC may request the support of non-impacted coalition members to fulfill roles within the HMAC. This request would be made </w:t>
      </w:r>
      <w:r w:rsidRPr="4162B6B1" w:rsidR="62F10A56">
        <w:rPr>
          <w:rFonts w:ascii="Calibri" w:hAnsi="Calibri" w:eastAsia="Times New Roman" w:cs="Times New Roman"/>
          <w:sz w:val="22"/>
          <w:szCs w:val="22"/>
          <w:lang w:bidi="en-US"/>
        </w:rPr>
        <w:t>utilizing</w:t>
      </w:r>
      <w:r w:rsidRPr="4162B6B1" w:rsidR="62F10A56">
        <w:rPr>
          <w:rFonts w:ascii="Calibri" w:hAnsi="Calibri" w:eastAsia="Times New Roman" w:cs="Times New Roman"/>
          <w:sz w:val="22"/>
          <w:szCs w:val="22"/>
          <w:lang w:bidi="en-US"/>
        </w:rPr>
        <w:t xml:space="preserve"> the resource request process</w:t>
      </w:r>
      <w:r w:rsidRPr="4162B6B1" w:rsidR="62F10A56">
        <w:rPr>
          <w:rFonts w:ascii="Calibri" w:hAnsi="Calibri" w:eastAsia="Times New Roman" w:cs="Times New Roman"/>
          <w:sz w:val="22"/>
          <w:szCs w:val="22"/>
          <w:lang w:bidi="en-US"/>
        </w:rPr>
        <w:t xml:space="preserve">. </w:t>
      </w:r>
    </w:p>
    <w:p w:rsidR="00B95AEE" w:rsidP="000533C4" w:rsidRDefault="004C5B9F" w14:paraId="13AFFD17" w14:textId="77777777">
      <w:pPr>
        <w:pStyle w:val="Heading5"/>
      </w:pPr>
      <w:r>
        <w:t>2.3.1.5.3 Information Sharing</w:t>
      </w:r>
    </w:p>
    <w:p w:rsidRPr="003B20E5" w:rsidR="003B20E5" w:rsidP="4162B6B1" w:rsidRDefault="003B20E5" w14:paraId="7264D05B" w14:textId="436240E5">
      <w:pPr>
        <w:spacing w:before="120" w:after="120" w:line="276" w:lineRule="auto"/>
        <w:rPr>
          <w:rFonts w:ascii="Calibri" w:hAnsi="Calibri" w:eastAsia="Times New Roman" w:cs="Times New Roman"/>
          <w:sz w:val="22"/>
          <w:szCs w:val="22"/>
          <w:lang w:bidi="en-US"/>
        </w:rPr>
      </w:pPr>
      <w:r w:rsidRPr="4162B6B1" w:rsidR="62F10A56">
        <w:rPr>
          <w:rFonts w:ascii="Calibri" w:hAnsi="Calibri" w:eastAsia="Times New Roman" w:cs="Times New Roman"/>
          <w:sz w:val="22"/>
          <w:szCs w:val="22"/>
          <w:lang w:bidi="en-US"/>
        </w:rPr>
        <w:t xml:space="preserve">Based on the scope and scale of the incident, </w:t>
      </w:r>
      <w:r w:rsidRPr="4162B6B1" w:rsidR="62F10A56">
        <w:rPr>
          <w:rFonts w:ascii="Calibri" w:hAnsi="Calibri" w:eastAsia="Times New Roman" w:cs="Times New Roman"/>
          <w:sz w:val="22"/>
          <w:szCs w:val="22"/>
          <w:lang w:bidi="en-US"/>
        </w:rPr>
        <w:t>appropriate essential</w:t>
      </w:r>
      <w:r w:rsidRPr="4162B6B1" w:rsidR="62F10A56">
        <w:rPr>
          <w:rFonts w:ascii="Calibri" w:hAnsi="Calibri" w:eastAsia="Times New Roman" w:cs="Times New Roman"/>
          <w:sz w:val="22"/>
          <w:szCs w:val="22"/>
          <w:lang w:bidi="en-US"/>
        </w:rPr>
        <w:t xml:space="preserve"> elements of information will be collected from local, regional</w:t>
      </w:r>
      <w:r w:rsidRPr="4162B6B1" w:rsidR="62F10A56">
        <w:rPr>
          <w:rFonts w:ascii="Calibri" w:hAnsi="Calibri" w:eastAsia="Times New Roman" w:cs="Times New Roman"/>
          <w:sz w:val="22"/>
          <w:szCs w:val="22"/>
          <w:lang w:bidi="en-US"/>
        </w:rPr>
        <w:t>,</w:t>
      </w:r>
      <w:r w:rsidRPr="4162B6B1" w:rsidR="62F10A56">
        <w:rPr>
          <w:rFonts w:ascii="Calibri" w:hAnsi="Calibri" w:eastAsia="Times New Roman" w:cs="Times New Roman"/>
          <w:sz w:val="22"/>
          <w:szCs w:val="22"/>
          <w:lang w:bidi="en-US"/>
        </w:rPr>
        <w:t xml:space="preserve"> and state partners to support the response needs. This section describes information sharing that will take place between Health Care Multi-Agency Coordination group (HMAC) before, during and after an incident</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 xml:space="preserve">The HMAC has developed reportable conditions to be provided to the RHPC. The RHPC, as well as the HMAC, if activated, will aggregate individual coalition member </w:t>
      </w:r>
      <w:r w:rsidRPr="4162B6B1" w:rsidR="62F10A56">
        <w:rPr>
          <w:rFonts w:ascii="Calibri" w:hAnsi="Calibri" w:eastAsia="Times New Roman" w:cs="Times New Roman"/>
          <w:sz w:val="22"/>
          <w:szCs w:val="22"/>
          <w:lang w:bidi="en-US"/>
        </w:rPr>
        <w:t>information,</w:t>
      </w:r>
      <w:r w:rsidRPr="4162B6B1" w:rsidR="62F10A56">
        <w:rPr>
          <w:rFonts w:ascii="Calibri" w:hAnsi="Calibri" w:eastAsia="Times New Roman" w:cs="Times New Roman"/>
          <w:sz w:val="22"/>
          <w:szCs w:val="22"/>
          <w:lang w:bidi="en-US"/>
        </w:rPr>
        <w:t xml:space="preserve"> and </w:t>
      </w:r>
      <w:r w:rsidRPr="4162B6B1" w:rsidR="62F10A56">
        <w:rPr>
          <w:rFonts w:ascii="Calibri" w:hAnsi="Calibri" w:eastAsia="Times New Roman" w:cs="Times New Roman"/>
          <w:sz w:val="22"/>
          <w:szCs w:val="22"/>
          <w:lang w:bidi="en-US"/>
        </w:rPr>
        <w:t>provide</w:t>
      </w:r>
      <w:r w:rsidRPr="4162B6B1" w:rsidR="62F10A56">
        <w:rPr>
          <w:rFonts w:ascii="Calibri" w:hAnsi="Calibri" w:eastAsia="Times New Roman" w:cs="Times New Roman"/>
          <w:sz w:val="22"/>
          <w:szCs w:val="22"/>
          <w:lang w:bidi="en-US"/>
        </w:rPr>
        <w:t xml:space="preserve"> status reports to the MDH and other jurisdictional partners as needed </w:t>
      </w:r>
      <w:r w:rsidRPr="4162B6B1" w:rsidR="62F10A56">
        <w:rPr>
          <w:rFonts w:ascii="Calibri" w:hAnsi="Calibri" w:eastAsia="Times New Roman" w:cs="Times New Roman"/>
          <w:sz w:val="22"/>
          <w:szCs w:val="22"/>
          <w:lang w:bidi="en-US"/>
        </w:rPr>
        <w:t>to</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facilitate</w:t>
      </w:r>
      <w:r w:rsidRPr="4162B6B1" w:rsidR="62F10A56">
        <w:rPr>
          <w:rFonts w:ascii="Calibri" w:hAnsi="Calibri" w:eastAsia="Times New Roman" w:cs="Times New Roman"/>
          <w:sz w:val="22"/>
          <w:szCs w:val="22"/>
          <w:lang w:bidi="en-US"/>
        </w:rPr>
        <w:t xml:space="preserve"> regional and /or statewide response decisions</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 xml:space="preserve">In turn, if MDH or jurisdictional partners need </w:t>
      </w:r>
      <w:r w:rsidRPr="4162B6B1" w:rsidR="62F10A56">
        <w:rPr>
          <w:rFonts w:ascii="Calibri" w:hAnsi="Calibri" w:eastAsia="Times New Roman" w:cs="Times New Roman"/>
          <w:sz w:val="22"/>
          <w:szCs w:val="22"/>
          <w:lang w:bidi="en-US"/>
        </w:rPr>
        <w:t>additional</w:t>
      </w:r>
      <w:r w:rsidRPr="4162B6B1" w:rsidR="62F10A56">
        <w:rPr>
          <w:rFonts w:ascii="Calibri" w:hAnsi="Calibri" w:eastAsia="Times New Roman" w:cs="Times New Roman"/>
          <w:sz w:val="22"/>
          <w:szCs w:val="22"/>
          <w:lang w:bidi="en-US"/>
        </w:rPr>
        <w:t xml:space="preserve"> information from coalition member organizations they may request HMAC to gather that information of members either through email, phone, conference call, </w:t>
      </w:r>
      <w:r w:rsidRPr="4162B6B1" w:rsidR="62F10A56">
        <w:rPr>
          <w:rFonts w:ascii="Calibri" w:hAnsi="Calibri" w:eastAsia="Times New Roman" w:cs="Times New Roman"/>
          <w:sz w:val="22"/>
          <w:szCs w:val="22"/>
          <w:lang w:bidi="en-US"/>
        </w:rPr>
        <w:t>meeting,</w:t>
      </w:r>
      <w:r w:rsidRPr="4162B6B1" w:rsidR="62F10A56">
        <w:rPr>
          <w:rFonts w:ascii="Calibri" w:hAnsi="Calibri" w:eastAsia="Times New Roman" w:cs="Times New Roman"/>
          <w:sz w:val="22"/>
          <w:szCs w:val="22"/>
          <w:lang w:bidi="en-US"/>
        </w:rPr>
        <w:t xml:space="preserve"> or any other source. </w:t>
      </w:r>
    </w:p>
    <w:p w:rsidRPr="003B20E5" w:rsidR="003B20E5" w:rsidP="003B20E5" w:rsidRDefault="003B20E5" w14:paraId="209A3284" w14:textId="77777777">
      <w:pPr>
        <w:keepNext/>
        <w:spacing w:before="120" w:after="120" w:line="276" w:lineRule="auto"/>
        <w:outlineLvl w:val="2"/>
        <w:rPr>
          <w:rStyle w:val="IntenseEmphasis"/>
          <w:lang w:bidi="en-US"/>
        </w:rPr>
      </w:pPr>
      <w:bookmarkStart w:name="_Toc103411583" w:id="56"/>
      <w:r w:rsidRPr="003B20E5">
        <w:rPr>
          <w:rStyle w:val="IntenseEmphasis"/>
          <w:lang w:bidi="en-US"/>
        </w:rPr>
        <w:lastRenderedPageBreak/>
        <w:t>Information Access and Data Protection</w:t>
      </w:r>
      <w:bookmarkEnd w:id="56"/>
    </w:p>
    <w:p w:rsidRPr="003B20E5" w:rsidR="003B20E5" w:rsidP="4162B6B1" w:rsidRDefault="003B20E5" w14:paraId="5690A461" w14:textId="0C4ED230">
      <w:pPr>
        <w:spacing w:before="120" w:after="120" w:line="276" w:lineRule="auto"/>
        <w:rPr>
          <w:rFonts w:ascii="Calibri" w:hAnsi="Calibri" w:eastAsia="Times New Roman" w:cs="Times New Roman"/>
          <w:sz w:val="22"/>
          <w:szCs w:val="22"/>
          <w:lang w:bidi="en-US"/>
        </w:rPr>
      </w:pPr>
      <w:r w:rsidRPr="4162B6B1" w:rsidR="62F10A56">
        <w:rPr>
          <w:rFonts w:ascii="Calibri" w:hAnsi="Calibri" w:eastAsia="Times New Roman" w:cs="Times New Roman"/>
          <w:sz w:val="22"/>
          <w:szCs w:val="22"/>
          <w:lang w:bidi="en-US"/>
        </w:rPr>
        <w:t xml:space="preserve">Information access is limited to coalition members and </w:t>
      </w:r>
      <w:r w:rsidRPr="4162B6B1" w:rsidR="62F10A56">
        <w:rPr>
          <w:rFonts w:ascii="Calibri" w:hAnsi="Calibri" w:eastAsia="Times New Roman" w:cs="Times New Roman"/>
          <w:sz w:val="22"/>
          <w:szCs w:val="22"/>
          <w:lang w:bidi="en-US"/>
        </w:rPr>
        <w:t>additional</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stakeholders,</w:t>
      </w:r>
      <w:r w:rsidRPr="4162B6B1" w:rsidR="62F10A56">
        <w:rPr>
          <w:rFonts w:ascii="Calibri" w:hAnsi="Calibri" w:eastAsia="Times New Roman" w:cs="Times New Roman"/>
          <w:sz w:val="22"/>
          <w:szCs w:val="22"/>
          <w:lang w:bidi="en-US"/>
        </w:rPr>
        <w:t xml:space="preserve"> as necessary</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 xml:space="preserve">Coalition documents and plans are For Official Use Only (FOUO) and </w:t>
      </w:r>
      <w:r w:rsidRPr="4162B6B1" w:rsidR="62F10A56">
        <w:rPr>
          <w:rFonts w:ascii="Calibri" w:hAnsi="Calibri" w:eastAsia="Times New Roman" w:cs="Times New Roman"/>
          <w:sz w:val="22"/>
          <w:szCs w:val="22"/>
          <w:lang w:bidi="en-US"/>
        </w:rPr>
        <w:t>contain</w:t>
      </w:r>
      <w:r w:rsidRPr="4162B6B1" w:rsidR="62F10A56">
        <w:rPr>
          <w:rFonts w:ascii="Calibri" w:hAnsi="Calibri" w:eastAsia="Times New Roman" w:cs="Times New Roman"/>
          <w:sz w:val="22"/>
          <w:szCs w:val="22"/>
          <w:lang w:bidi="en-US"/>
        </w:rPr>
        <w:t xml:space="preserve"> no Protected Health Information (PHI)</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 xml:space="preserve">Systems used by the coalition members include privacy procedures, access limitations and protection of data created within for the unlikely event exchange of sensitive information is </w:t>
      </w:r>
      <w:r w:rsidRPr="4162B6B1" w:rsidR="62F10A56">
        <w:rPr>
          <w:rFonts w:ascii="Calibri" w:hAnsi="Calibri" w:eastAsia="Times New Roman" w:cs="Times New Roman"/>
          <w:sz w:val="22"/>
          <w:szCs w:val="22"/>
          <w:lang w:bidi="en-US"/>
        </w:rPr>
        <w:t>required</w:t>
      </w:r>
      <w:r w:rsidRPr="4162B6B1" w:rsidR="62F10A56">
        <w:rPr>
          <w:rFonts w:ascii="Calibri" w:hAnsi="Calibri" w:eastAsia="Times New Roman" w:cs="Times New Roman"/>
          <w:sz w:val="22"/>
          <w:szCs w:val="22"/>
          <w:lang w:bidi="en-US"/>
        </w:rPr>
        <w:t>.</w:t>
      </w:r>
    </w:p>
    <w:p w:rsidR="00A3252D" w:rsidP="000533C4" w:rsidRDefault="00A5512D" w14:paraId="78A5CC1C" w14:textId="77777777">
      <w:pPr>
        <w:pStyle w:val="Heading5"/>
      </w:pPr>
      <w:r>
        <w:t>2.3.1.5.4 Resource Coordination</w:t>
      </w:r>
    </w:p>
    <w:p w:rsidR="00A5512D" w:rsidP="00C664F9" w:rsidRDefault="00421239" w14:paraId="0B9440BE" w14:textId="7F617981">
      <w:pPr>
        <w:spacing w:line="276" w:lineRule="auto"/>
        <w:ind w:left="2160"/>
      </w:pPr>
      <w:r w:rsidRPr="4162B6B1" w:rsidR="09E26A1D">
        <w:rPr>
          <w:highlight w:val="yellow"/>
        </w:rPr>
        <w:t>Refer to Appendix 3.5.</w:t>
      </w:r>
      <w:r w:rsidRPr="4162B6B1" w:rsidR="575C229F">
        <w:rPr>
          <w:highlight w:val="yellow"/>
        </w:rPr>
        <w:t>6</w:t>
      </w:r>
      <w:r w:rsidRPr="4162B6B1" w:rsidR="09E26A1D">
        <w:rPr>
          <w:highlight w:val="yellow"/>
        </w:rPr>
        <w:t xml:space="preserve"> </w:t>
      </w:r>
      <w:r w:rsidRPr="4162B6B1" w:rsidR="3A1C4A21">
        <w:rPr>
          <w:highlight w:val="yellow"/>
        </w:rPr>
        <w:t>Regional Resource Allocation Plan and Appendix 3.</w:t>
      </w:r>
      <w:r w:rsidRPr="4162B6B1" w:rsidR="575C229F">
        <w:rPr>
          <w:highlight w:val="yellow"/>
        </w:rPr>
        <w:t>5</w:t>
      </w:r>
      <w:r w:rsidRPr="4162B6B1" w:rsidR="3A1C4A21">
        <w:rPr>
          <w:highlight w:val="yellow"/>
        </w:rPr>
        <w:t>.</w:t>
      </w:r>
      <w:r w:rsidRPr="4162B6B1" w:rsidR="575C229F">
        <w:rPr>
          <w:highlight w:val="yellow"/>
        </w:rPr>
        <w:t>6.2</w:t>
      </w:r>
      <w:r w:rsidRPr="4162B6B1" w:rsidR="3A1C4A21">
        <w:rPr>
          <w:highlight w:val="yellow"/>
        </w:rPr>
        <w:t xml:space="preserve"> Resource Request form for the process the coalition will use to coordinate the sharing or acquisition of resources before and during a response</w:t>
      </w:r>
      <w:r w:rsidRPr="4162B6B1" w:rsidR="3A1C4A21">
        <w:rPr>
          <w:highlight w:val="yellow"/>
        </w:rPr>
        <w:t xml:space="preserve">. </w:t>
      </w:r>
      <w:r w:rsidRPr="4162B6B1" w:rsidR="21269B42">
        <w:rPr>
          <w:highlight w:val="yellow"/>
        </w:rPr>
        <w:t>Appendix 3.5.</w:t>
      </w:r>
      <w:r w:rsidRPr="4162B6B1" w:rsidR="575C229F">
        <w:rPr>
          <w:highlight w:val="yellow"/>
        </w:rPr>
        <w:t>6</w:t>
      </w:r>
      <w:r w:rsidRPr="4162B6B1" w:rsidR="21269B42">
        <w:rPr>
          <w:highlight w:val="yellow"/>
        </w:rPr>
        <w:t>.1 Regional Cache documentation shares a list of the items currently contained within the regional cache.</w:t>
      </w:r>
    </w:p>
    <w:p w:rsidRPr="003B20E5" w:rsidR="003B20E5" w:rsidP="4162B6B1" w:rsidRDefault="003B20E5" w14:paraId="450223DA" w14:textId="082A0793">
      <w:pPr>
        <w:spacing w:before="120" w:after="120" w:line="276" w:lineRule="auto"/>
        <w:rPr>
          <w:rFonts w:ascii="Calibri" w:hAnsi="Calibri" w:eastAsia="Times New Roman" w:cs="Calibri"/>
          <w:sz w:val="22"/>
          <w:szCs w:val="22"/>
          <w:lang w:bidi="en-US"/>
        </w:rPr>
      </w:pPr>
      <w:r w:rsidRPr="4162B6B1" w:rsidR="62F10A56">
        <w:rPr>
          <w:rFonts w:ascii="Calibri" w:hAnsi="Calibri" w:eastAsia="Times New Roman" w:cs="Times New Roman"/>
          <w:sz w:val="22"/>
          <w:szCs w:val="22"/>
          <w:lang w:bidi="en-US"/>
        </w:rPr>
        <w:t>During times of scarce resources, medical surge, and/or evacuation measures, there may be situations where resource sharing/acquisitions may be coordinated through the Coalition</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The Coaliti</w:t>
      </w:r>
      <w:r w:rsidRPr="4162B6B1" w:rsidR="62F10A56">
        <w:rPr>
          <w:rFonts w:ascii="Calibri" w:hAnsi="Calibri" w:eastAsia="Times New Roman" w:cs="Times New Roman"/>
          <w:sz w:val="22"/>
          <w:szCs w:val="22"/>
          <w:lang w:bidi="en-US"/>
        </w:rPr>
        <w:t xml:space="preserve">on </w:t>
      </w:r>
      <w:r w:rsidRPr="4162B6B1" w:rsidR="62F10A56">
        <w:rPr>
          <w:rFonts w:ascii="Calibri" w:hAnsi="Calibri" w:eastAsia="Times New Roman" w:cs="Times New Roman"/>
          <w:sz w:val="22"/>
          <w:szCs w:val="22"/>
          <w:lang w:bidi="en-US"/>
        </w:rPr>
        <w:t>mainta</w:t>
      </w:r>
      <w:r w:rsidRPr="4162B6B1" w:rsidR="62F10A56">
        <w:rPr>
          <w:rFonts w:ascii="Calibri" w:hAnsi="Calibri" w:eastAsia="Times New Roman" w:cs="Times New Roman"/>
          <w:sz w:val="22"/>
          <w:szCs w:val="22"/>
          <w:lang w:bidi="en-US"/>
        </w:rPr>
        <w:t>ins</w:t>
      </w:r>
      <w:r w:rsidRPr="4162B6B1" w:rsidR="62F10A56">
        <w:rPr>
          <w:rFonts w:ascii="Calibri" w:hAnsi="Calibri" w:eastAsia="Times New Roman" w:cs="Times New Roman"/>
          <w:sz w:val="22"/>
          <w:szCs w:val="22"/>
          <w:lang w:bidi="en-US"/>
        </w:rPr>
        <w:t xml:space="preserve"> a regional cache of health care supplies that may be needed to supplement the resources available for Coalition members. The Coaliti</w:t>
      </w:r>
      <w:r w:rsidRPr="4162B6B1" w:rsidR="62F10A56">
        <w:rPr>
          <w:rFonts w:ascii="Calibri" w:hAnsi="Calibri" w:eastAsia="Times New Roman" w:cs="Times New Roman"/>
          <w:sz w:val="22"/>
          <w:szCs w:val="22"/>
          <w:lang w:bidi="en-US"/>
        </w:rPr>
        <w:t xml:space="preserve">on </w:t>
      </w:r>
      <w:r w:rsidRPr="4162B6B1" w:rsidR="62F10A56">
        <w:rPr>
          <w:rFonts w:ascii="Calibri" w:hAnsi="Calibri" w:eastAsia="Times New Roman" w:cs="Times New Roman"/>
          <w:sz w:val="22"/>
          <w:szCs w:val="22"/>
          <w:lang w:bidi="en-US"/>
        </w:rPr>
        <w:t xml:space="preserve">is responsible </w:t>
      </w:r>
      <w:r w:rsidRPr="4162B6B1" w:rsidR="62F10A56">
        <w:rPr>
          <w:rFonts w:ascii="Calibri" w:hAnsi="Calibri" w:eastAsia="Times New Roman" w:cs="Times New Roman"/>
          <w:sz w:val="22"/>
          <w:szCs w:val="22"/>
          <w:lang w:bidi="en-US"/>
        </w:rPr>
        <w:t>f</w:t>
      </w:r>
      <w:r w:rsidRPr="4162B6B1" w:rsidR="62F10A56">
        <w:rPr>
          <w:rFonts w:ascii="Calibri" w:hAnsi="Calibri" w:eastAsia="Times New Roman" w:cs="Times New Roman"/>
          <w:sz w:val="22"/>
          <w:szCs w:val="22"/>
          <w:lang w:bidi="en-US"/>
        </w:rPr>
        <w:t>or</w:t>
      </w:r>
      <w:r w:rsidRPr="4162B6B1" w:rsidR="62F10A56">
        <w:rPr>
          <w:rFonts w:ascii="Calibri" w:hAnsi="Calibri" w:eastAsia="Times New Roman" w:cs="Times New Roman"/>
          <w:sz w:val="22"/>
          <w:szCs w:val="22"/>
          <w:lang w:bidi="en-US"/>
        </w:rPr>
        <w:t xml:space="preserve"> </w:t>
      </w:r>
      <w:r w:rsidRPr="4162B6B1" w:rsidR="62F10A56">
        <w:rPr>
          <w:rFonts w:ascii="Calibri" w:hAnsi="Calibri" w:eastAsia="Times New Roman" w:cs="Times New Roman"/>
          <w:sz w:val="22"/>
          <w:szCs w:val="22"/>
          <w:lang w:bidi="en-US"/>
        </w:rPr>
        <w:t>maintain</w:t>
      </w:r>
      <w:r w:rsidRPr="4162B6B1" w:rsidR="62F10A56">
        <w:rPr>
          <w:rFonts w:ascii="Calibri" w:hAnsi="Calibri" w:eastAsia="Times New Roman" w:cs="Times New Roman"/>
          <w:sz w:val="22"/>
          <w:szCs w:val="22"/>
          <w:lang w:bidi="en-US"/>
        </w:rPr>
        <w:t>ing</w:t>
      </w:r>
      <w:r w:rsidRPr="4162B6B1" w:rsidR="62F10A56">
        <w:rPr>
          <w:rFonts w:ascii="Calibri" w:hAnsi="Calibri" w:eastAsia="Times New Roman" w:cs="Times New Roman"/>
          <w:sz w:val="22"/>
          <w:szCs w:val="22"/>
          <w:lang w:bidi="en-US"/>
        </w:rPr>
        <w:t>, monitoring, allocation</w:t>
      </w:r>
      <w:r w:rsidRPr="4162B6B1" w:rsidR="62F10A56">
        <w:rPr>
          <w:rFonts w:ascii="Calibri" w:hAnsi="Calibri" w:eastAsia="Times New Roman" w:cs="Times New Roman"/>
          <w:sz w:val="22"/>
          <w:szCs w:val="22"/>
          <w:lang w:bidi="en-US"/>
        </w:rPr>
        <w:t>,</w:t>
      </w:r>
      <w:r w:rsidRPr="4162B6B1" w:rsidR="62F10A56">
        <w:rPr>
          <w:rFonts w:ascii="Calibri" w:hAnsi="Calibri" w:eastAsia="Times New Roman" w:cs="Times New Roman"/>
          <w:sz w:val="22"/>
          <w:szCs w:val="22"/>
          <w:lang w:bidi="en-US"/>
        </w:rPr>
        <w:t xml:space="preserve"> and distribution control of all the inventory items in the cache as well as the acquisition and disposal of equipment. </w:t>
      </w:r>
    </w:p>
    <w:p w:rsidRPr="003B20E5" w:rsidR="003B20E5" w:rsidP="003B20E5" w:rsidRDefault="003B20E5" w14:paraId="7E262D7F" w14:textId="77777777">
      <w:pPr>
        <w:keepNext/>
        <w:keepLines/>
        <w:spacing w:before="240" w:after="120" w:line="271" w:lineRule="auto"/>
        <w:outlineLvl w:val="1"/>
        <w:rPr>
          <w:rStyle w:val="IntenseEmphasis"/>
        </w:rPr>
      </w:pPr>
      <w:bookmarkStart w:name="_Toc99650043" w:id="57"/>
      <w:bookmarkStart w:name="_Toc103411584" w:id="58"/>
      <w:r w:rsidRPr="003B20E5">
        <w:rPr>
          <w:rStyle w:val="IntenseEmphasis"/>
        </w:rPr>
        <w:t>Identification of Needs</w:t>
      </w:r>
      <w:bookmarkEnd w:id="57"/>
      <w:bookmarkEnd w:id="58"/>
    </w:p>
    <w:p w:rsidRPr="003B20E5" w:rsidR="003B20E5" w:rsidP="003B20E5" w:rsidRDefault="003B20E5" w14:paraId="19AC5009" w14:textId="77777777">
      <w:pPr>
        <w:spacing w:before="120" w:after="120" w:line="240" w:lineRule="auto"/>
        <w:rPr>
          <w:rFonts w:ascii="Calibri" w:hAnsi="Calibri" w:eastAsia="Times New Roman" w:cs="Times New Roman"/>
          <w:sz w:val="22"/>
          <w:lang w:bidi="en-US"/>
        </w:rPr>
      </w:pPr>
      <w:r w:rsidRPr="003B20E5">
        <w:rPr>
          <w:rFonts w:ascii="Calibri" w:hAnsi="Calibri" w:eastAsia="Times New Roman" w:cs="Calibri"/>
          <w:bCs/>
          <w:sz w:val="22"/>
          <w:lang w:bidi="en-US"/>
        </w:rPr>
        <w:t>The Health Care Multi-Agency Coordination group (HMAC) will coordinate to support the coalition for the following:</w:t>
      </w:r>
    </w:p>
    <w:p w:rsidRPr="003B20E5" w:rsidR="003B20E5" w:rsidP="003B20E5" w:rsidRDefault="003B20E5" w14:paraId="02871628"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Identify available health care resources from accessible caches and through appropriate request process</w:t>
      </w:r>
    </w:p>
    <w:p w:rsidRPr="003B20E5" w:rsidR="003B20E5" w:rsidP="003B20E5" w:rsidRDefault="003B20E5" w14:paraId="1369A871"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Identify mutual aid processes for health care resources </w:t>
      </w:r>
    </w:p>
    <w:p w:rsidRPr="003B20E5" w:rsidR="003B20E5" w:rsidP="003B20E5" w:rsidRDefault="003B20E5" w14:paraId="576FBB76"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Consult on issues relating to over allocated resources </w:t>
      </w:r>
    </w:p>
    <w:p w:rsidRPr="003B20E5" w:rsidR="003B20E5" w:rsidP="003B20E5" w:rsidRDefault="003B20E5" w14:paraId="7477887D"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Identify assets that the coalition has the authority to allocate</w:t>
      </w:r>
    </w:p>
    <w:p w:rsidRPr="003B20E5" w:rsidR="003B20E5" w:rsidP="003B20E5" w:rsidRDefault="003B20E5" w14:paraId="28BC0F75"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Identify regional mobile medical assets and caches of medical equipment and supplies</w:t>
      </w:r>
    </w:p>
    <w:p w:rsidRPr="003B20E5" w:rsidR="003B20E5" w:rsidP="003B20E5" w:rsidRDefault="003B20E5" w14:paraId="51A9D2A5"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Implement processes to identify and utilize trained, credentialed staff to assist with patient care or other duties during surge operations </w:t>
      </w:r>
    </w:p>
    <w:p w:rsidRPr="003B20E5" w:rsidR="003B20E5" w:rsidP="003B20E5" w:rsidRDefault="003B20E5" w14:paraId="7B02E74B" w14:textId="77777777">
      <w:pPr>
        <w:keepNext/>
        <w:keepLines/>
        <w:spacing w:before="240" w:after="120" w:line="271" w:lineRule="auto"/>
        <w:outlineLvl w:val="1"/>
        <w:rPr>
          <w:rStyle w:val="IntenseEmphasis"/>
        </w:rPr>
      </w:pPr>
      <w:bookmarkStart w:name="_Toc99650044" w:id="59"/>
      <w:bookmarkStart w:name="_Toc103411585" w:id="60"/>
      <w:r w:rsidRPr="003B20E5">
        <w:rPr>
          <w:rStyle w:val="IntenseEmphasis"/>
        </w:rPr>
        <w:t>Resource Management Implementation</w:t>
      </w:r>
      <w:bookmarkEnd w:id="59"/>
      <w:bookmarkEnd w:id="60"/>
    </w:p>
    <w:p w:rsidRPr="003B20E5" w:rsidR="003B20E5" w:rsidP="003B20E5" w:rsidRDefault="003B20E5" w14:paraId="397022E8"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Coordinate assistance for resources from locally available caches when requested and available </w:t>
      </w:r>
    </w:p>
    <w:p w:rsidRPr="003B20E5" w:rsidR="003B20E5" w:rsidP="003B20E5" w:rsidRDefault="003B20E5" w14:paraId="1DF7DF19"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Assist coalition members with implementation of mutual aid processes upon request </w:t>
      </w:r>
    </w:p>
    <w:p w:rsidRPr="003B20E5" w:rsidR="003B20E5" w:rsidP="003B20E5" w:rsidRDefault="003B20E5" w14:paraId="49367A21"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Allocate locally controlled assets through the coalition</w:t>
      </w:r>
    </w:p>
    <w:p w:rsidRPr="003B20E5" w:rsidR="003B20E5" w:rsidP="003B20E5" w:rsidRDefault="003B20E5" w14:paraId="49F818BB"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Assist local, state, and Federal incident management with coordination of resource requests from coalition members, as requested</w:t>
      </w:r>
    </w:p>
    <w:p w:rsidRPr="003B20E5" w:rsidR="003B20E5" w:rsidP="4162B6B1" w:rsidRDefault="003B20E5" w14:paraId="4DD9A87B" w14:textId="7C99826F">
      <w:pPr>
        <w:numPr>
          <w:ilvl w:val="0"/>
          <w:numId w:val="45"/>
        </w:numPr>
        <w:spacing w:before="0" w:after="160" w:line="276" w:lineRule="auto"/>
        <w:ind w:left="1860"/>
        <w:contextualSpacing/>
        <w:jc w:val="both"/>
        <w:rPr>
          <w:rFonts w:ascii="Calibri" w:hAnsi="Calibri" w:eastAsia="Calibri" w:cs="Calibri"/>
          <w:sz w:val="22"/>
          <w:szCs w:val="22"/>
        </w:rPr>
      </w:pPr>
      <w:r w:rsidRPr="4162B6B1" w:rsidR="62F10A56">
        <w:rPr>
          <w:rFonts w:ascii="Calibri" w:hAnsi="Calibri" w:eastAsia="Calibri" w:cs="Calibri"/>
          <w:sz w:val="22"/>
          <w:szCs w:val="22"/>
        </w:rPr>
        <w:t xml:space="preserve">Utilize alternate sources of resources (e.g., emergency supply chains and private vendor support for critical resources such as equipment, supplies, </w:t>
      </w:r>
      <w:r w:rsidRPr="4162B6B1" w:rsidR="62F10A56">
        <w:rPr>
          <w:rFonts w:ascii="Calibri" w:hAnsi="Calibri" w:eastAsia="Calibri" w:cs="Calibri"/>
          <w:sz w:val="22"/>
          <w:szCs w:val="22"/>
        </w:rPr>
        <w:t>space,</w:t>
      </w:r>
      <w:r w:rsidRPr="4162B6B1" w:rsidR="62F10A56">
        <w:rPr>
          <w:rFonts w:ascii="Calibri" w:hAnsi="Calibri" w:eastAsia="Calibri" w:cs="Calibri"/>
          <w:sz w:val="22"/>
          <w:szCs w:val="22"/>
        </w:rPr>
        <w:t xml:space="preserve"> or other resource) if requested and available</w:t>
      </w:r>
    </w:p>
    <w:p w:rsidRPr="003B20E5" w:rsidR="003B20E5" w:rsidP="003B20E5" w:rsidRDefault="003B20E5" w14:paraId="32215BC3" w14:textId="77777777">
      <w:pPr>
        <w:keepNext/>
        <w:keepLines/>
        <w:spacing w:before="240" w:after="120" w:line="271" w:lineRule="auto"/>
        <w:outlineLvl w:val="1"/>
        <w:rPr>
          <w:rStyle w:val="IntenseEmphasis"/>
        </w:rPr>
      </w:pPr>
      <w:bookmarkStart w:name="_Toc99650045" w:id="61"/>
      <w:bookmarkStart w:name="_Toc103411586" w:id="62"/>
      <w:r w:rsidRPr="003B20E5">
        <w:rPr>
          <w:rStyle w:val="IntenseEmphasis"/>
        </w:rPr>
        <w:t>Managing and Resupplying Coalition Resource Cache</w:t>
      </w:r>
      <w:bookmarkEnd w:id="61"/>
      <w:bookmarkEnd w:id="62"/>
    </w:p>
    <w:p w:rsidRPr="003B20E5" w:rsidR="003B20E5" w:rsidP="003B20E5" w:rsidRDefault="003B20E5" w14:paraId="44CA22F4"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Implement the processes to track, record, and effectively inventory available resources for health care organization use during emergency operations </w:t>
      </w:r>
    </w:p>
    <w:p w:rsidRPr="003B20E5" w:rsidR="003B20E5" w:rsidP="003B20E5" w:rsidRDefault="003B20E5" w14:paraId="19ABBFB0"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Coordinate with the appropriate agencies for the resupply of specific caches (e.g., Strategic National Stockpile) </w:t>
      </w:r>
    </w:p>
    <w:p w:rsidRPr="003B20E5" w:rsidR="003B20E5" w:rsidP="003B20E5" w:rsidRDefault="003B20E5" w14:paraId="6CE57CA1"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Implement the processes for the rapid resupply of depleted resources if, and when available </w:t>
      </w:r>
    </w:p>
    <w:p w:rsidRPr="003B20E5" w:rsidR="003B20E5" w:rsidP="003B20E5" w:rsidRDefault="003B20E5" w14:paraId="3AEB2772" w14:textId="77777777">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Implement the processes to replace outdated supplies </w:t>
      </w:r>
    </w:p>
    <w:p w:rsidR="003B20E5" w:rsidP="003B20E5" w:rsidRDefault="003B20E5" w14:paraId="6A551D19" w14:textId="5D010E5A">
      <w:pPr>
        <w:numPr>
          <w:ilvl w:val="0"/>
          <w:numId w:val="45"/>
        </w:numPr>
        <w:spacing w:before="0" w:after="160" w:line="276" w:lineRule="auto"/>
        <w:ind w:left="1860"/>
        <w:contextualSpacing/>
        <w:jc w:val="both"/>
        <w:rPr>
          <w:rFonts w:ascii="Calibri" w:hAnsi="Calibri" w:eastAsia="Calibri" w:cs="Calibri"/>
          <w:bCs/>
          <w:sz w:val="22"/>
        </w:rPr>
      </w:pPr>
      <w:r w:rsidRPr="003B20E5">
        <w:rPr>
          <w:rFonts w:ascii="Calibri" w:hAnsi="Calibri" w:eastAsia="Calibri" w:cs="Calibri"/>
          <w:bCs/>
          <w:sz w:val="22"/>
        </w:rPr>
        <w:t xml:space="preserve">Consult on the financial processes for the reimbursement of depleted resources based on the type of incident (e.g., emergency declaration) or through routine processes </w:t>
      </w:r>
    </w:p>
    <w:p w:rsidRPr="0053177B" w:rsidR="0053177B" w:rsidP="0053177B" w:rsidRDefault="0053177B" w14:paraId="441B1ADB" w14:textId="77777777">
      <w:pPr>
        <w:keepNext/>
        <w:keepLines/>
        <w:spacing w:before="240" w:after="120" w:line="271" w:lineRule="auto"/>
        <w:outlineLvl w:val="1"/>
        <w:rPr>
          <w:rStyle w:val="IntenseEmphasis"/>
        </w:rPr>
      </w:pPr>
      <w:bookmarkStart w:name="_Toc99650046" w:id="63"/>
      <w:bookmarkStart w:name="_Toc103411587" w:id="64"/>
      <w:r w:rsidRPr="0053177B">
        <w:rPr>
          <w:rStyle w:val="IntenseEmphasis"/>
        </w:rPr>
        <w:t>Coordination with Public Health Partners</w:t>
      </w:r>
      <w:bookmarkEnd w:id="63"/>
      <w:bookmarkEnd w:id="64"/>
    </w:p>
    <w:p w:rsidRPr="0053177B" w:rsidR="0053177B" w:rsidP="0053177B" w:rsidRDefault="0053177B" w14:paraId="5EE22A22" w14:textId="19093EBB">
      <w:pPr>
        <w:spacing w:before="0" w:after="160" w:line="276" w:lineRule="auto"/>
        <w:contextualSpacing/>
        <w:jc w:val="both"/>
        <w:rPr>
          <w:rFonts w:ascii="Calibri" w:hAnsi="Calibri" w:eastAsia="Calibri" w:cs="Calibri"/>
          <w:bCs/>
          <w:sz w:val="22"/>
        </w:rPr>
      </w:pPr>
      <w:r w:rsidRPr="0053177B">
        <w:rPr>
          <w:rFonts w:ascii="Calibri" w:hAnsi="Calibri" w:eastAsia="Calibri" w:cs="Calibri"/>
          <w:bCs/>
          <w:sz w:val="22"/>
        </w:rPr>
        <w:t>To</w:t>
      </w:r>
      <w:r w:rsidRPr="0053177B">
        <w:rPr>
          <w:rFonts w:ascii="Calibri" w:hAnsi="Calibri" w:eastAsia="Calibri" w:cs="Calibri"/>
          <w:bCs/>
          <w:sz w:val="22"/>
        </w:rPr>
        <w:t xml:space="preserve"> request support services, guidance and/or resources for public health related emergencies, the RHPC will communicate with the public health </w:t>
      </w:r>
      <w:r>
        <w:rPr>
          <w:rFonts w:ascii="Calibri" w:hAnsi="Calibri" w:eastAsia="Calibri" w:cs="Calibri"/>
          <w:bCs/>
          <w:sz w:val="22"/>
        </w:rPr>
        <w:t xml:space="preserve">regional consultant and local public health </w:t>
      </w:r>
      <w:r w:rsidRPr="0053177B">
        <w:rPr>
          <w:rFonts w:ascii="Calibri" w:hAnsi="Calibri" w:eastAsia="Calibri" w:cs="Calibri"/>
          <w:bCs/>
          <w:sz w:val="22"/>
        </w:rPr>
        <w:t xml:space="preserve">representatives on the following elements: </w:t>
      </w:r>
    </w:p>
    <w:p w:rsidRPr="0053177B" w:rsidR="0053177B" w:rsidP="0053177B" w:rsidRDefault="0053177B" w14:paraId="25774DBE" w14:textId="77777777">
      <w:pPr>
        <w:pStyle w:val="ListParagraph"/>
        <w:numPr>
          <w:ilvl w:val="0"/>
          <w:numId w:val="46"/>
        </w:numPr>
        <w:spacing w:before="60" w:after="60" w:line="276" w:lineRule="auto"/>
        <w:rPr>
          <w:rFonts w:ascii="Calibri" w:hAnsi="Calibri" w:eastAsia="Times New Roman" w:cs="Times New Roman"/>
          <w:sz w:val="22"/>
          <w:lang w:bidi="en-US"/>
        </w:rPr>
      </w:pPr>
      <w:r w:rsidRPr="0053177B">
        <w:rPr>
          <w:rFonts w:ascii="Calibri" w:hAnsi="Calibri" w:eastAsia="Times New Roman" w:cs="Times New Roman"/>
          <w:sz w:val="22"/>
          <w:lang w:bidi="en-US"/>
        </w:rPr>
        <w:t xml:space="preserve">Surveillance services </w:t>
      </w:r>
    </w:p>
    <w:p w:rsidRPr="0053177B" w:rsidR="0053177B" w:rsidP="0053177B" w:rsidRDefault="0053177B" w14:paraId="6CEE415F" w14:textId="77777777">
      <w:pPr>
        <w:pStyle w:val="ListParagraph"/>
        <w:numPr>
          <w:ilvl w:val="0"/>
          <w:numId w:val="46"/>
        </w:numPr>
        <w:spacing w:before="60" w:after="60" w:line="276" w:lineRule="auto"/>
        <w:rPr>
          <w:rFonts w:ascii="Calibri" w:hAnsi="Calibri" w:eastAsia="Times New Roman" w:cs="Times New Roman"/>
          <w:sz w:val="22"/>
          <w:lang w:bidi="en-US"/>
        </w:rPr>
      </w:pPr>
      <w:r w:rsidRPr="0053177B">
        <w:rPr>
          <w:rFonts w:ascii="Calibri" w:hAnsi="Calibri" w:eastAsia="Times New Roman" w:cs="Times New Roman"/>
          <w:sz w:val="22"/>
          <w:lang w:bidi="en-US"/>
        </w:rPr>
        <w:t xml:space="preserve">Epidemiological investigation </w:t>
      </w:r>
    </w:p>
    <w:p w:rsidRPr="0053177B" w:rsidR="0053177B" w:rsidP="0053177B" w:rsidRDefault="0053177B" w14:paraId="0B4EC111" w14:textId="77777777">
      <w:pPr>
        <w:pStyle w:val="ListParagraph"/>
        <w:numPr>
          <w:ilvl w:val="0"/>
          <w:numId w:val="46"/>
        </w:numPr>
        <w:spacing w:before="60" w:after="60" w:line="276" w:lineRule="auto"/>
        <w:rPr>
          <w:rFonts w:ascii="Calibri" w:hAnsi="Calibri" w:eastAsia="Times New Roman" w:cs="Times New Roman"/>
          <w:sz w:val="22"/>
          <w:lang w:bidi="en-US"/>
        </w:rPr>
      </w:pPr>
      <w:r w:rsidRPr="0053177B">
        <w:rPr>
          <w:rFonts w:ascii="Calibri" w:hAnsi="Calibri" w:eastAsia="Times New Roman" w:cs="Times New Roman"/>
          <w:sz w:val="22"/>
          <w:lang w:bidi="en-US"/>
        </w:rPr>
        <w:t xml:space="preserve">Public health laboratory services </w:t>
      </w:r>
    </w:p>
    <w:p w:rsidRPr="0053177B" w:rsidR="0053177B" w:rsidP="0053177B" w:rsidRDefault="0053177B" w14:paraId="67515DD9" w14:textId="77777777">
      <w:pPr>
        <w:pStyle w:val="ListParagraph"/>
        <w:numPr>
          <w:ilvl w:val="0"/>
          <w:numId w:val="46"/>
        </w:numPr>
        <w:spacing w:before="60" w:after="60" w:line="276" w:lineRule="auto"/>
        <w:rPr>
          <w:rFonts w:ascii="Calibri" w:hAnsi="Calibri" w:eastAsia="Times New Roman" w:cs="Times New Roman"/>
          <w:sz w:val="22"/>
          <w:szCs w:val="24"/>
          <w:lang w:bidi="en-US"/>
        </w:rPr>
      </w:pPr>
      <w:r w:rsidRPr="0053177B">
        <w:rPr>
          <w:rFonts w:ascii="Calibri" w:hAnsi="Calibri" w:eastAsia="Times New Roman" w:cs="Times New Roman"/>
          <w:sz w:val="22"/>
          <w:lang w:bidi="en-US"/>
        </w:rPr>
        <w:t>Guidance on prevention measures for injury, infectious disease, and other major health threats during an incident</w:t>
      </w:r>
    </w:p>
    <w:p w:rsidRPr="0053177B" w:rsidR="0053177B" w:rsidP="0053177B" w:rsidRDefault="0053177B" w14:paraId="378A4245" w14:textId="77777777">
      <w:pPr>
        <w:pStyle w:val="ListParagraph"/>
        <w:numPr>
          <w:ilvl w:val="0"/>
          <w:numId w:val="46"/>
        </w:numPr>
        <w:spacing w:before="60" w:after="60" w:line="276" w:lineRule="auto"/>
        <w:rPr>
          <w:rFonts w:ascii="Calibri" w:hAnsi="Calibri" w:eastAsia="Times New Roman" w:cs="Times New Roman"/>
          <w:sz w:val="22"/>
          <w:szCs w:val="24"/>
          <w:lang w:bidi="en-US"/>
        </w:rPr>
      </w:pPr>
      <w:r w:rsidRPr="0053177B">
        <w:rPr>
          <w:rFonts w:ascii="Calibri" w:hAnsi="Calibri" w:eastAsia="Times New Roman" w:cs="Times New Roman"/>
          <w:sz w:val="22"/>
          <w:lang w:bidi="en-US"/>
        </w:rPr>
        <w:t>Alternate care sites, as needed</w:t>
      </w:r>
    </w:p>
    <w:p w:rsidR="003B20E5" w:rsidP="00C664F9" w:rsidRDefault="003B20E5" w14:paraId="403940A2" w14:textId="77777777">
      <w:pPr>
        <w:spacing w:line="276" w:lineRule="auto"/>
        <w:ind w:left="2160"/>
      </w:pPr>
    </w:p>
    <w:p w:rsidR="00C25D12" w:rsidP="000533C4" w:rsidRDefault="00C25D12" w14:paraId="51846229" w14:textId="77777777">
      <w:pPr>
        <w:pStyle w:val="Heading5"/>
      </w:pPr>
      <w:r>
        <w:t>2.3.1.5.5 Patient Tracking</w:t>
      </w:r>
    </w:p>
    <w:p w:rsidRPr="0053177B" w:rsidR="0053177B" w:rsidP="4162B6B1" w:rsidRDefault="0053177B" w14:paraId="71B830EF" w14:textId="19C9BC29">
      <w:pPr>
        <w:spacing w:before="120" w:after="120" w:line="276" w:lineRule="auto"/>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 xml:space="preserve">Minnesota system for tracking resources, </w:t>
      </w:r>
      <w:r w:rsidRPr="4162B6B1" w:rsidR="6CBE4C7F">
        <w:rPr>
          <w:rFonts w:ascii="Calibri" w:hAnsi="Calibri" w:eastAsia="Times New Roman" w:cs="Times New Roman"/>
          <w:sz w:val="22"/>
          <w:szCs w:val="22"/>
          <w:lang w:bidi="en-US"/>
        </w:rPr>
        <w:t>alerts,</w:t>
      </w:r>
      <w:r w:rsidRPr="4162B6B1" w:rsidR="6CBE4C7F">
        <w:rPr>
          <w:rFonts w:ascii="Calibri" w:hAnsi="Calibri" w:eastAsia="Times New Roman" w:cs="Times New Roman"/>
          <w:sz w:val="22"/>
          <w:szCs w:val="22"/>
          <w:lang w:bidi="en-US"/>
        </w:rPr>
        <w:t xml:space="preserve"> and communications (MNTrac), is the statewide system, used on a regular basis by hospital, EMS, and long-term care facilities. Central Region hospitals update the system </w:t>
      </w:r>
      <w:r w:rsidRPr="4162B6B1" w:rsidR="6CBE4C7F">
        <w:rPr>
          <w:rFonts w:ascii="Calibri" w:hAnsi="Calibri" w:eastAsia="Times New Roman" w:cs="Times New Roman"/>
          <w:sz w:val="22"/>
          <w:szCs w:val="22"/>
          <w:lang w:bidi="en-US"/>
        </w:rPr>
        <w:t>frequently</w:t>
      </w:r>
      <w:r w:rsidRPr="4162B6B1" w:rsidR="6CBE4C7F">
        <w:rPr>
          <w:rFonts w:ascii="Calibri" w:hAnsi="Calibri" w:eastAsia="Times New Roman" w:cs="Times New Roman"/>
          <w:sz w:val="22"/>
          <w:szCs w:val="22"/>
          <w:lang w:bidi="en-US"/>
        </w:rPr>
        <w:t xml:space="preserve"> during mass casualty situations, and Long-Term Care facilities update monthly</w:t>
      </w:r>
      <w:r w:rsidRPr="4162B6B1" w:rsidR="6CBE4C7F">
        <w:rPr>
          <w:rFonts w:ascii="Calibri" w:hAnsi="Calibri" w:eastAsia="Times New Roman" w:cs="Times New Roman"/>
          <w:sz w:val="22"/>
          <w:szCs w:val="22"/>
          <w:lang w:bidi="en-US"/>
        </w:rPr>
        <w:t xml:space="preserve">. </w:t>
      </w:r>
    </w:p>
    <w:p w:rsidRPr="0053177B" w:rsidR="0053177B" w:rsidP="4162B6B1" w:rsidRDefault="0053177B" w14:paraId="423A2A53" w14:textId="0A8BF0E6">
      <w:pPr>
        <w:spacing w:before="120" w:after="120" w:line="276" w:lineRule="auto"/>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 xml:space="preserve">The purpose of the system is to </w:t>
      </w:r>
      <w:r w:rsidRPr="4162B6B1" w:rsidR="6CBE4C7F">
        <w:rPr>
          <w:rFonts w:ascii="Calibri" w:hAnsi="Calibri" w:eastAsia="Times New Roman" w:cs="Times New Roman"/>
          <w:sz w:val="22"/>
          <w:szCs w:val="22"/>
          <w:lang w:bidi="en-US"/>
        </w:rPr>
        <w:t>provide</w:t>
      </w:r>
      <w:r w:rsidRPr="4162B6B1" w:rsidR="6CBE4C7F">
        <w:rPr>
          <w:rFonts w:ascii="Calibri" w:hAnsi="Calibri" w:eastAsia="Times New Roman" w:cs="Times New Roman"/>
          <w:sz w:val="22"/>
          <w:szCs w:val="22"/>
          <w:lang w:bidi="en-US"/>
        </w:rPr>
        <w:t xml:space="preserve"> situational awareness to </w:t>
      </w:r>
      <w:r w:rsidRPr="4162B6B1" w:rsidR="6CBE4C7F">
        <w:rPr>
          <w:rFonts w:ascii="Calibri" w:hAnsi="Calibri" w:eastAsia="Times New Roman" w:cs="Times New Roman"/>
          <w:sz w:val="22"/>
          <w:szCs w:val="22"/>
          <w:lang w:bidi="en-US"/>
        </w:rPr>
        <w:t>assist</w:t>
      </w:r>
      <w:r w:rsidRPr="4162B6B1" w:rsidR="6CBE4C7F">
        <w:rPr>
          <w:rFonts w:ascii="Calibri" w:hAnsi="Calibri" w:eastAsia="Times New Roman" w:cs="Times New Roman"/>
          <w:sz w:val="22"/>
          <w:szCs w:val="22"/>
          <w:lang w:bidi="en-US"/>
        </w:rPr>
        <w:t xml:space="preserve"> hospitals, the Regional Health care Preparedness Coordinator (RHPC), EMS, Public </w:t>
      </w:r>
      <w:r w:rsidRPr="4162B6B1" w:rsidR="6CBE4C7F">
        <w:rPr>
          <w:rFonts w:ascii="Calibri" w:hAnsi="Calibri" w:eastAsia="Times New Roman" w:cs="Times New Roman"/>
          <w:sz w:val="22"/>
          <w:szCs w:val="22"/>
          <w:lang w:bidi="en-US"/>
        </w:rPr>
        <w:t>Health,</w:t>
      </w:r>
      <w:r w:rsidRPr="4162B6B1" w:rsidR="6CBE4C7F">
        <w:rPr>
          <w:rFonts w:ascii="Calibri" w:hAnsi="Calibri" w:eastAsia="Times New Roman" w:cs="Times New Roman"/>
          <w:sz w:val="22"/>
          <w:szCs w:val="22"/>
          <w:lang w:bidi="en-US"/>
        </w:rPr>
        <w:t xml:space="preserve"> and others for: </w:t>
      </w:r>
    </w:p>
    <w:p w:rsidRPr="0053177B" w:rsidR="0053177B" w:rsidP="0053177B" w:rsidRDefault="0053177B" w14:paraId="4C768266" w14:textId="77777777">
      <w:pPr>
        <w:numPr>
          <w:ilvl w:val="0"/>
          <w:numId w:val="47"/>
        </w:numPr>
        <w:spacing w:before="60" w:after="60" w:line="276" w:lineRule="auto"/>
        <w:ind w:left="2160"/>
        <w:contextualSpacing/>
        <w:rPr>
          <w:rFonts w:ascii="Calibri" w:hAnsi="Calibri" w:eastAsia="Times New Roman" w:cs="Times New Roman"/>
          <w:sz w:val="22"/>
          <w:lang w:bidi="en-US"/>
        </w:rPr>
      </w:pPr>
      <w:r w:rsidRPr="0053177B">
        <w:rPr>
          <w:rFonts w:ascii="Calibri" w:hAnsi="Calibri" w:eastAsia="Times New Roman" w:cs="Times New Roman"/>
          <w:sz w:val="22"/>
          <w:lang w:bidi="en-US"/>
        </w:rPr>
        <w:t xml:space="preserve">Regional notifications, alerts, and incident communications </w:t>
      </w:r>
    </w:p>
    <w:p w:rsidRPr="0053177B" w:rsidR="0053177B" w:rsidP="0053177B" w:rsidRDefault="0053177B" w14:paraId="7975717F" w14:textId="77777777">
      <w:pPr>
        <w:numPr>
          <w:ilvl w:val="0"/>
          <w:numId w:val="47"/>
        </w:numPr>
        <w:spacing w:before="60" w:after="60" w:line="276" w:lineRule="auto"/>
        <w:ind w:left="2160"/>
        <w:contextualSpacing/>
        <w:rPr>
          <w:rFonts w:ascii="Calibri" w:hAnsi="Calibri" w:eastAsia="Times New Roman" w:cs="Times New Roman"/>
          <w:sz w:val="22"/>
          <w:lang w:bidi="en-US"/>
        </w:rPr>
      </w:pPr>
      <w:r w:rsidRPr="0053177B">
        <w:rPr>
          <w:rFonts w:ascii="Calibri" w:hAnsi="Calibri" w:eastAsia="Times New Roman" w:cs="Times New Roman"/>
          <w:sz w:val="22"/>
          <w:lang w:bidi="en-US"/>
        </w:rPr>
        <w:t xml:space="preserve">Availability of beds and services, including isolation beds and Alternative Care Facilities (ACF) </w:t>
      </w:r>
    </w:p>
    <w:p w:rsidRPr="0053177B" w:rsidR="0053177B" w:rsidP="0053177B" w:rsidRDefault="0053177B" w14:paraId="29900B4D" w14:textId="77777777">
      <w:pPr>
        <w:numPr>
          <w:ilvl w:val="0"/>
          <w:numId w:val="47"/>
        </w:numPr>
        <w:spacing w:before="60" w:after="60" w:line="276" w:lineRule="auto"/>
        <w:ind w:left="2160"/>
        <w:contextualSpacing/>
        <w:rPr>
          <w:rFonts w:ascii="Calibri" w:hAnsi="Calibri" w:eastAsia="Times New Roman" w:cs="Times New Roman"/>
          <w:sz w:val="22"/>
          <w:lang w:bidi="en-US"/>
        </w:rPr>
      </w:pPr>
      <w:r w:rsidRPr="0053177B">
        <w:rPr>
          <w:rFonts w:ascii="Calibri" w:hAnsi="Calibri" w:eastAsia="Times New Roman" w:cs="Times New Roman"/>
          <w:sz w:val="22"/>
          <w:lang w:bidi="en-US"/>
        </w:rPr>
        <w:t>Determining availability of critical equipment and supplies, including, ventilators, antidotes, decontamination units and personal protective equipment (PPE) etc.</w:t>
      </w:r>
    </w:p>
    <w:p w:rsidRPr="0053177B" w:rsidR="0053177B" w:rsidP="0053177B" w:rsidRDefault="0053177B" w14:paraId="160E4DAF" w14:textId="77777777">
      <w:pPr>
        <w:numPr>
          <w:ilvl w:val="0"/>
          <w:numId w:val="47"/>
        </w:numPr>
        <w:spacing w:before="60" w:after="60" w:line="276" w:lineRule="auto"/>
        <w:ind w:left="2160"/>
        <w:contextualSpacing/>
        <w:rPr>
          <w:rFonts w:ascii="Calibri" w:hAnsi="Calibri" w:eastAsia="Times New Roman" w:cs="Times New Roman"/>
          <w:sz w:val="22"/>
          <w:lang w:bidi="en-US"/>
        </w:rPr>
      </w:pPr>
      <w:r w:rsidRPr="0053177B">
        <w:rPr>
          <w:rFonts w:ascii="Calibri" w:hAnsi="Calibri" w:eastAsia="Times New Roman" w:cs="Times New Roman"/>
          <w:sz w:val="22"/>
          <w:lang w:bidi="en-US"/>
        </w:rPr>
        <w:lastRenderedPageBreak/>
        <w:t xml:space="preserve">Movement of patients/residents  </w:t>
      </w:r>
    </w:p>
    <w:p w:rsidRPr="0053177B" w:rsidR="0053177B" w:rsidP="0053177B" w:rsidRDefault="0053177B" w14:paraId="3DC6FBB4" w14:textId="77777777">
      <w:pPr>
        <w:numPr>
          <w:ilvl w:val="0"/>
          <w:numId w:val="47"/>
        </w:numPr>
        <w:spacing w:before="60" w:after="60" w:line="276" w:lineRule="auto"/>
        <w:ind w:left="2160"/>
        <w:contextualSpacing/>
        <w:rPr>
          <w:rFonts w:ascii="Calibri" w:hAnsi="Calibri" w:eastAsia="Times New Roman" w:cs="Times New Roman"/>
          <w:sz w:val="22"/>
          <w:lang w:bidi="en-US"/>
        </w:rPr>
      </w:pPr>
      <w:r w:rsidRPr="0053177B">
        <w:rPr>
          <w:rFonts w:ascii="Calibri" w:hAnsi="Calibri" w:eastAsia="Times New Roman" w:cs="Times New Roman"/>
          <w:sz w:val="22"/>
          <w:lang w:bidi="en-US"/>
        </w:rPr>
        <w:t xml:space="preserve">Coordination of EMS </w:t>
      </w:r>
    </w:p>
    <w:p w:rsidR="00423B34" w:rsidP="00C664F9" w:rsidRDefault="00423B34" w14:paraId="1781E50F" w14:textId="77777777">
      <w:pPr>
        <w:spacing w:line="276" w:lineRule="auto"/>
        <w:ind w:left="2160"/>
      </w:pPr>
    </w:p>
    <w:p w:rsidR="00B35C49" w:rsidP="00261652" w:rsidRDefault="00B35C49" w14:paraId="32644A47" w14:textId="77777777">
      <w:pPr>
        <w:pStyle w:val="Heading4"/>
      </w:pPr>
      <w:bookmarkStart w:name="_Toc103417385" w:id="65"/>
      <w:r>
        <w:t>2.3.1.6 Demobilization</w:t>
      </w:r>
      <w:bookmarkEnd w:id="65"/>
    </w:p>
    <w:p w:rsidRPr="0053177B" w:rsidR="0053177B" w:rsidP="4162B6B1" w:rsidRDefault="0053177B" w14:paraId="1073D48A" w14:textId="4BA7F539">
      <w:pPr>
        <w:spacing w:before="0" w:after="120" w:line="276" w:lineRule="auto"/>
        <w:ind w:left="720"/>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 xml:space="preserve">As the response ends, the HMAC, in collaboration with supported organizations, and MDH, if activated, will </w:t>
      </w:r>
      <w:r w:rsidRPr="4162B6B1" w:rsidR="6CBE4C7F">
        <w:rPr>
          <w:rFonts w:ascii="Calibri" w:hAnsi="Calibri" w:eastAsia="Times New Roman" w:cs="Times New Roman"/>
          <w:sz w:val="22"/>
          <w:szCs w:val="22"/>
          <w:lang w:bidi="en-US"/>
        </w:rPr>
        <w:t>determine</w:t>
      </w:r>
      <w:r w:rsidRPr="4162B6B1" w:rsidR="6CBE4C7F">
        <w:rPr>
          <w:rFonts w:ascii="Calibri" w:hAnsi="Calibri" w:eastAsia="Times New Roman" w:cs="Times New Roman"/>
          <w:sz w:val="22"/>
          <w:szCs w:val="22"/>
          <w:lang w:bidi="en-US"/>
        </w:rPr>
        <w:t xml:space="preserve"> the need to demobilize the HMAC</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Demobilization may occur all at once, or in a tiered fashion as certain functions/organizations return to normal operations</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Intentions to demobilize should be communicated to all applicable stakeholders. Notification of demobilization may occur via MNTrac or email.</w:t>
      </w:r>
    </w:p>
    <w:p w:rsidRPr="0053177B" w:rsidR="0053177B" w:rsidP="008F1731" w:rsidRDefault="0053177B" w14:paraId="46AD727F" w14:textId="77777777">
      <w:pPr>
        <w:spacing w:before="0" w:after="120" w:line="276" w:lineRule="auto"/>
        <w:ind w:left="720"/>
        <w:rPr>
          <w:rFonts w:ascii="Calibri" w:hAnsi="Calibri" w:eastAsia="Times New Roman" w:cs="Times New Roman"/>
          <w:sz w:val="22"/>
          <w:lang w:bidi="en-US"/>
        </w:rPr>
      </w:pPr>
      <w:r w:rsidRPr="0053177B">
        <w:rPr>
          <w:rFonts w:ascii="Calibri" w:hAnsi="Calibri" w:eastAsia="Times New Roman" w:cs="Times New Roman"/>
          <w:sz w:val="22"/>
          <w:lang w:bidi="en-US"/>
        </w:rPr>
        <w:t>The HMAC members, in collaboration with partners, should consider the following criteria when determining the need to demobilize the HMAC:</w:t>
      </w:r>
    </w:p>
    <w:p w:rsidRPr="0053177B" w:rsidR="0053177B" w:rsidP="008F1731" w:rsidRDefault="0053177B" w14:paraId="070E4D1A" w14:textId="77777777">
      <w:pPr>
        <w:numPr>
          <w:ilvl w:val="0"/>
          <w:numId w:val="48"/>
        </w:numPr>
        <w:spacing w:before="0" w:after="120" w:line="276" w:lineRule="auto"/>
        <w:ind w:left="1296" w:hanging="306"/>
        <w:rPr>
          <w:rFonts w:ascii="Calibri" w:hAnsi="Calibri" w:eastAsia="Times New Roman" w:cs="Times New Roman"/>
          <w:sz w:val="22"/>
          <w:lang w:bidi="en-US"/>
        </w:rPr>
      </w:pPr>
      <w:r w:rsidRPr="0053177B">
        <w:rPr>
          <w:rFonts w:ascii="Calibri" w:hAnsi="Calibri" w:eastAsia="Times New Roman" w:cs="Times New Roman"/>
          <w:sz w:val="22"/>
          <w:lang w:bidi="en-US"/>
        </w:rPr>
        <w:t>Projected end of an outbreak</w:t>
      </w:r>
    </w:p>
    <w:p w:rsidRPr="0053177B" w:rsidR="0053177B" w:rsidP="008F1731" w:rsidRDefault="0053177B" w14:paraId="4AB0A58D" w14:textId="77777777">
      <w:pPr>
        <w:numPr>
          <w:ilvl w:val="0"/>
          <w:numId w:val="48"/>
        </w:numPr>
        <w:spacing w:before="0" w:after="120" w:line="276" w:lineRule="auto"/>
        <w:ind w:left="1296" w:hanging="306"/>
        <w:rPr>
          <w:rFonts w:ascii="Calibri" w:hAnsi="Calibri" w:eastAsia="Times New Roman" w:cs="Times New Roman"/>
          <w:sz w:val="22"/>
          <w:lang w:bidi="en-US"/>
        </w:rPr>
      </w:pPr>
      <w:r w:rsidRPr="0053177B">
        <w:rPr>
          <w:rFonts w:ascii="Calibri" w:hAnsi="Calibri" w:eastAsia="Times New Roman" w:cs="Times New Roman"/>
          <w:sz w:val="22"/>
          <w:lang w:bidi="en-US"/>
        </w:rPr>
        <w:t>Ability to provide inpatient care without surge activities</w:t>
      </w:r>
    </w:p>
    <w:p w:rsidRPr="0053177B" w:rsidR="0053177B" w:rsidP="008F1731" w:rsidRDefault="0053177B" w14:paraId="75CBFA85" w14:textId="77777777">
      <w:pPr>
        <w:numPr>
          <w:ilvl w:val="0"/>
          <w:numId w:val="48"/>
        </w:numPr>
        <w:spacing w:before="0" w:after="120" w:line="276" w:lineRule="auto"/>
        <w:ind w:left="1296" w:hanging="306"/>
        <w:rPr>
          <w:rFonts w:ascii="Calibri" w:hAnsi="Calibri" w:eastAsia="Times New Roman" w:cs="Times New Roman"/>
          <w:sz w:val="22"/>
          <w:lang w:bidi="en-US"/>
        </w:rPr>
      </w:pPr>
      <w:r w:rsidRPr="0053177B">
        <w:rPr>
          <w:rFonts w:ascii="Calibri" w:hAnsi="Calibri" w:eastAsia="Times New Roman" w:cs="Times New Roman"/>
          <w:sz w:val="22"/>
          <w:lang w:bidi="en-US"/>
        </w:rPr>
        <w:t>Ability to provide emergency services without surge activities</w:t>
      </w:r>
    </w:p>
    <w:p w:rsidRPr="0053177B" w:rsidR="0053177B" w:rsidP="008F1731" w:rsidRDefault="0053177B" w14:paraId="2D56BA87" w14:textId="77777777">
      <w:pPr>
        <w:numPr>
          <w:ilvl w:val="0"/>
          <w:numId w:val="48"/>
        </w:numPr>
        <w:spacing w:before="0" w:after="120" w:line="276" w:lineRule="auto"/>
        <w:ind w:left="1296" w:hanging="306"/>
        <w:rPr>
          <w:rFonts w:ascii="Calibri" w:hAnsi="Calibri" w:eastAsia="Times New Roman" w:cs="Times New Roman"/>
          <w:sz w:val="22"/>
          <w:lang w:bidi="en-US"/>
        </w:rPr>
      </w:pPr>
      <w:r w:rsidRPr="0053177B">
        <w:rPr>
          <w:rFonts w:ascii="Calibri" w:hAnsi="Calibri" w:eastAsia="Times New Roman" w:cs="Times New Roman"/>
          <w:sz w:val="22"/>
          <w:lang w:bidi="en-US"/>
        </w:rPr>
        <w:t>Ability to provide emergency services without mutual aid (EMS)</w:t>
      </w:r>
    </w:p>
    <w:p w:rsidRPr="0053177B" w:rsidR="0053177B" w:rsidP="008F1731" w:rsidRDefault="0053177B" w14:paraId="733E8A68" w14:textId="77777777">
      <w:pPr>
        <w:numPr>
          <w:ilvl w:val="0"/>
          <w:numId w:val="48"/>
        </w:numPr>
        <w:spacing w:before="0" w:after="120" w:line="276" w:lineRule="auto"/>
        <w:ind w:left="1296" w:hanging="306"/>
        <w:rPr>
          <w:rFonts w:ascii="Calibri" w:hAnsi="Calibri" w:eastAsia="Times New Roman" w:cs="Times New Roman"/>
          <w:sz w:val="22"/>
          <w:lang w:bidi="en-US"/>
        </w:rPr>
      </w:pPr>
      <w:r w:rsidRPr="0053177B">
        <w:rPr>
          <w:rFonts w:ascii="Calibri" w:hAnsi="Calibri" w:eastAsia="Times New Roman" w:cs="Times New Roman"/>
          <w:sz w:val="22"/>
          <w:lang w:bidi="en-US"/>
        </w:rPr>
        <w:t>Resumption of normal operations is imminent/completed</w:t>
      </w:r>
    </w:p>
    <w:p w:rsidRPr="0053177B" w:rsidR="0053177B" w:rsidP="4162B6B1" w:rsidRDefault="0053177B" w14:paraId="4150AEEB" w14:textId="461CF49A">
      <w:pPr>
        <w:spacing w:before="120" w:after="120" w:line="276" w:lineRule="auto"/>
        <w:ind w:left="720"/>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Planning for demobilization shall be considered throughout the HMAC activation period</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All paperwork created in the response process will be collected, collated, and reviewed for inclusion in the After-Action Review (AAR)</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 xml:space="preserve">Copies of paperwork that </w:t>
      </w:r>
      <w:r w:rsidRPr="4162B6B1" w:rsidR="6CBE4C7F">
        <w:rPr>
          <w:rFonts w:ascii="Calibri" w:hAnsi="Calibri" w:eastAsia="Times New Roman" w:cs="Times New Roman"/>
          <w:sz w:val="22"/>
          <w:szCs w:val="22"/>
          <w:lang w:bidi="en-US"/>
        </w:rPr>
        <w:t>identify</w:t>
      </w:r>
      <w:r w:rsidRPr="4162B6B1" w:rsidR="6CBE4C7F">
        <w:rPr>
          <w:rFonts w:ascii="Calibri" w:hAnsi="Calibri" w:eastAsia="Times New Roman" w:cs="Times New Roman"/>
          <w:sz w:val="22"/>
          <w:szCs w:val="22"/>
          <w:lang w:bidi="en-US"/>
        </w:rPr>
        <w:t xml:space="preserve"> any expenses incurred, such as resource allocation, time sheets, and receipts, will be shared with the local emergency manager in the </w:t>
      </w:r>
      <w:proofErr w:type="gramStart"/>
      <w:r w:rsidRPr="4162B6B1" w:rsidR="6CBE4C7F">
        <w:rPr>
          <w:rFonts w:ascii="Calibri" w:hAnsi="Calibri" w:eastAsia="Times New Roman" w:cs="Times New Roman"/>
          <w:sz w:val="22"/>
          <w:szCs w:val="22"/>
          <w:lang w:bidi="en-US"/>
        </w:rPr>
        <w:t>effected county</w:t>
      </w:r>
      <w:proofErr w:type="gramEnd"/>
      <w:r w:rsidRPr="4162B6B1" w:rsidR="6CBE4C7F">
        <w:rPr>
          <w:rFonts w:ascii="Calibri" w:hAnsi="Calibri" w:eastAsia="Times New Roman" w:cs="Times New Roman"/>
          <w:sz w:val="22"/>
          <w:szCs w:val="22"/>
          <w:lang w:bidi="en-US"/>
        </w:rPr>
        <w:t xml:space="preserve"> (if the local EOC is activated)</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 xml:space="preserve">All paperwork collected will be scanned and saved in an electronic file </w:t>
      </w:r>
      <w:r w:rsidRPr="4162B6B1" w:rsidR="6CBE4C7F">
        <w:rPr>
          <w:rFonts w:ascii="Calibri" w:hAnsi="Calibri" w:eastAsia="Times New Roman" w:cs="Times New Roman"/>
          <w:sz w:val="22"/>
          <w:szCs w:val="22"/>
          <w:lang w:bidi="en-US"/>
        </w:rPr>
        <w:t>labelled</w:t>
      </w:r>
      <w:r w:rsidRPr="4162B6B1" w:rsidR="6CBE4C7F">
        <w:rPr>
          <w:rFonts w:ascii="Calibri" w:hAnsi="Calibri" w:eastAsia="Times New Roman" w:cs="Times New Roman"/>
          <w:sz w:val="22"/>
          <w:szCs w:val="22"/>
          <w:lang w:bidi="en-US"/>
        </w:rPr>
        <w:t xml:space="preserve"> for the event</w:t>
      </w:r>
      <w:r w:rsidRPr="4162B6B1" w:rsidR="6CBE4C7F">
        <w:rPr>
          <w:rFonts w:ascii="Calibri" w:hAnsi="Calibri" w:eastAsia="Times New Roman" w:cs="Times New Roman"/>
          <w:sz w:val="22"/>
          <w:szCs w:val="22"/>
          <w:lang w:bidi="en-US"/>
        </w:rPr>
        <w:t xml:space="preserve">. </w:t>
      </w:r>
    </w:p>
    <w:p w:rsidRPr="0053177B" w:rsidR="0053177B" w:rsidP="4162B6B1" w:rsidRDefault="0053177B" w14:paraId="4F534004" w14:textId="6369EB05">
      <w:pPr>
        <w:spacing w:before="120" w:after="120" w:line="276" w:lineRule="auto"/>
        <w:ind w:left="720"/>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 xml:space="preserve">An after-action review will be conducted to </w:t>
      </w:r>
      <w:r w:rsidRPr="4162B6B1" w:rsidR="6CBE4C7F">
        <w:rPr>
          <w:rFonts w:ascii="Calibri" w:hAnsi="Calibri" w:eastAsia="Times New Roman" w:cs="Times New Roman"/>
          <w:sz w:val="22"/>
          <w:szCs w:val="22"/>
          <w:lang w:bidi="en-US"/>
        </w:rPr>
        <w:t>identify</w:t>
      </w:r>
      <w:r w:rsidRPr="4162B6B1" w:rsidR="6CBE4C7F">
        <w:rPr>
          <w:rFonts w:ascii="Calibri" w:hAnsi="Calibri" w:eastAsia="Times New Roman" w:cs="Times New Roman"/>
          <w:sz w:val="22"/>
          <w:szCs w:val="22"/>
          <w:lang w:bidi="en-US"/>
        </w:rPr>
        <w:t xml:space="preserve"> what went well and opportunities for improvement. The HMAC staff will create a survey monkey survey to gather feedback from all participants and incorporate the data collected in the regional AAR</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 xml:space="preserve">At the organization level, participants in the activity will complete an individual evaluation and </w:t>
      </w:r>
      <w:r w:rsidRPr="4162B6B1" w:rsidR="6CBE4C7F">
        <w:rPr>
          <w:rFonts w:ascii="Calibri" w:hAnsi="Calibri" w:eastAsia="Times New Roman" w:cs="Times New Roman"/>
          <w:sz w:val="22"/>
          <w:szCs w:val="22"/>
          <w:lang w:bidi="en-US"/>
        </w:rPr>
        <w:t>submit</w:t>
      </w:r>
      <w:r w:rsidRPr="4162B6B1" w:rsidR="6CBE4C7F">
        <w:rPr>
          <w:rFonts w:ascii="Calibri" w:hAnsi="Calibri" w:eastAsia="Times New Roman" w:cs="Times New Roman"/>
          <w:sz w:val="22"/>
          <w:szCs w:val="22"/>
          <w:lang w:bidi="en-US"/>
        </w:rPr>
        <w:t xml:space="preserve"> same to the organization emergency preparedness representative. The facilitator will compile the information obtained from the individual participants and </w:t>
      </w:r>
      <w:r w:rsidRPr="4162B6B1" w:rsidR="6CBE4C7F">
        <w:rPr>
          <w:rFonts w:ascii="Calibri" w:hAnsi="Calibri" w:eastAsia="Times New Roman" w:cs="Times New Roman"/>
          <w:sz w:val="22"/>
          <w:szCs w:val="22"/>
          <w:lang w:bidi="en-US"/>
        </w:rPr>
        <w:t>submit</w:t>
      </w:r>
      <w:r w:rsidRPr="4162B6B1" w:rsidR="6CBE4C7F">
        <w:rPr>
          <w:rFonts w:ascii="Calibri" w:hAnsi="Calibri" w:eastAsia="Times New Roman" w:cs="Times New Roman"/>
          <w:sz w:val="22"/>
          <w:szCs w:val="22"/>
          <w:lang w:bidi="en-US"/>
        </w:rPr>
        <w:t xml:space="preserve"> a report via SurveyMonkey and be prepared to discuss </w:t>
      </w:r>
      <w:r w:rsidRPr="4162B6B1" w:rsidR="6CBE4C7F">
        <w:rPr>
          <w:rFonts w:ascii="Calibri" w:hAnsi="Calibri" w:eastAsia="Times New Roman" w:cs="Times New Roman"/>
          <w:sz w:val="22"/>
          <w:szCs w:val="22"/>
          <w:lang w:bidi="en-US"/>
        </w:rPr>
        <w:t>the same</w:t>
      </w:r>
      <w:r w:rsidRPr="4162B6B1" w:rsidR="6CBE4C7F">
        <w:rPr>
          <w:rFonts w:ascii="Calibri" w:hAnsi="Calibri" w:eastAsia="Times New Roman" w:cs="Times New Roman"/>
          <w:sz w:val="22"/>
          <w:szCs w:val="22"/>
          <w:lang w:bidi="en-US"/>
        </w:rPr>
        <w:t xml:space="preserve"> during the face-to-face or regional conference call After-Action meeting</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 xml:space="preserve">Organizations </w:t>
      </w:r>
      <w:r w:rsidRPr="4162B6B1" w:rsidR="6CBE4C7F">
        <w:rPr>
          <w:rFonts w:ascii="Calibri" w:hAnsi="Calibri" w:eastAsia="Times New Roman" w:cs="Times New Roman"/>
          <w:sz w:val="22"/>
          <w:szCs w:val="22"/>
          <w:lang w:bidi="en-US"/>
        </w:rPr>
        <w:t>impacted</w:t>
      </w:r>
      <w:r w:rsidRPr="4162B6B1" w:rsidR="6CBE4C7F">
        <w:rPr>
          <w:rFonts w:ascii="Calibri" w:hAnsi="Calibri" w:eastAsia="Times New Roman" w:cs="Times New Roman"/>
          <w:sz w:val="22"/>
          <w:szCs w:val="22"/>
          <w:lang w:bidi="en-US"/>
        </w:rPr>
        <w:t xml:space="preserve"> are asked to create their own organization-based AAR and </w:t>
      </w:r>
      <w:r w:rsidRPr="4162B6B1" w:rsidR="6CBE4C7F">
        <w:rPr>
          <w:rFonts w:ascii="Calibri" w:hAnsi="Calibri" w:eastAsia="Times New Roman" w:cs="Times New Roman"/>
          <w:sz w:val="22"/>
          <w:szCs w:val="22"/>
          <w:lang w:bidi="en-US"/>
        </w:rPr>
        <w:t>provide</w:t>
      </w:r>
      <w:r w:rsidRPr="4162B6B1" w:rsidR="6CBE4C7F">
        <w:rPr>
          <w:rFonts w:ascii="Calibri" w:hAnsi="Calibri" w:eastAsia="Times New Roman" w:cs="Times New Roman"/>
          <w:sz w:val="22"/>
          <w:szCs w:val="22"/>
          <w:lang w:bidi="en-US"/>
        </w:rPr>
        <w:t xml:space="preserve"> a copy to the region.</w:t>
      </w:r>
    </w:p>
    <w:p w:rsidR="00B84C13" w:rsidP="008F1731" w:rsidRDefault="00B84C13" w14:paraId="0E02798E" w14:textId="67750CAA">
      <w:pPr>
        <w:spacing w:before="0" w:line="276" w:lineRule="auto"/>
        <w:ind w:left="720"/>
      </w:pPr>
    </w:p>
    <w:p w:rsidR="00BC27D3" w:rsidP="00261652" w:rsidRDefault="00BC27D3" w14:paraId="0FFDF3AA" w14:textId="77777777">
      <w:pPr>
        <w:pStyle w:val="Heading4"/>
      </w:pPr>
      <w:bookmarkStart w:name="_Toc103417386" w:id="66"/>
      <w:r>
        <w:t>2.3.1.7 Recover/Return to Pre-disaster State</w:t>
      </w:r>
      <w:bookmarkEnd w:id="66"/>
    </w:p>
    <w:p w:rsidRPr="0053177B" w:rsidR="0053177B" w:rsidP="4162B6B1" w:rsidRDefault="0053177B" w14:paraId="06B4A03E" w14:textId="568BF952">
      <w:pPr>
        <w:spacing w:before="120" w:after="120" w:line="276" w:lineRule="auto"/>
        <w:ind w:left="720"/>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The coalition must work together to restore the regional health care delivery system quickly to meet the needs of the public</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Individual health care faciliti</w:t>
      </w:r>
      <w:r w:rsidRPr="4162B6B1" w:rsidR="6CBE4C7F">
        <w:rPr>
          <w:rFonts w:ascii="Calibri" w:hAnsi="Calibri" w:eastAsia="Times New Roman" w:cs="Times New Roman"/>
          <w:sz w:val="22"/>
          <w:szCs w:val="22"/>
          <w:lang w:bidi="en-US"/>
        </w:rPr>
        <w:t xml:space="preserve">es </w:t>
      </w:r>
      <w:r w:rsidRPr="4162B6B1" w:rsidR="6CBE4C7F">
        <w:rPr>
          <w:rFonts w:ascii="Calibri" w:hAnsi="Calibri" w:eastAsia="Times New Roman" w:cs="Times New Roman"/>
          <w:sz w:val="22"/>
          <w:szCs w:val="22"/>
          <w:lang w:bidi="en-US"/>
        </w:rPr>
        <w:t>are required</w:t>
      </w:r>
      <w:r w:rsidRPr="4162B6B1" w:rsidR="6CBE4C7F">
        <w:rPr>
          <w:rFonts w:ascii="Calibri" w:hAnsi="Calibri" w:eastAsia="Times New Roman" w:cs="Times New Roman"/>
          <w:sz w:val="22"/>
          <w:szCs w:val="22"/>
          <w:lang w:bidi="en-US"/>
        </w:rPr>
        <w:t xml:space="preserve"> to</w:t>
      </w:r>
      <w:r w:rsidRPr="4162B6B1" w:rsidR="6CBE4C7F">
        <w:rPr>
          <w:rFonts w:ascii="Calibri" w:hAnsi="Calibri" w:eastAsia="Times New Roman" w:cs="Times New Roman"/>
          <w:sz w:val="22"/>
          <w:szCs w:val="22"/>
          <w:lang w:bidi="en-US"/>
        </w:rPr>
        <w:t xml:space="preserve"> have an emergency operation plan with the inclusion of a continuity of operations plan</w:t>
      </w:r>
      <w:r w:rsidRPr="4162B6B1" w:rsidR="6CBE4C7F">
        <w:rPr>
          <w:rFonts w:ascii="Calibri" w:hAnsi="Calibri" w:eastAsia="Times New Roman" w:cs="Times New Roman"/>
          <w:sz w:val="22"/>
          <w:szCs w:val="22"/>
          <w:lang w:bidi="en-US"/>
        </w:rPr>
        <w:t xml:space="preserve">. </w:t>
      </w:r>
    </w:p>
    <w:p w:rsidRPr="0053177B" w:rsidR="0053177B" w:rsidP="4162B6B1" w:rsidRDefault="0053177B" w14:paraId="5A741708" w14:textId="2075BC2C">
      <w:pPr>
        <w:spacing w:before="120" w:after="120" w:line="276" w:lineRule="auto"/>
        <w:ind w:left="720"/>
        <w:rPr>
          <w:rFonts w:ascii="Calibri" w:hAnsi="Calibri" w:eastAsia="Times New Roman" w:cs="Calibri"/>
          <w:sz w:val="22"/>
          <w:szCs w:val="22"/>
          <w:lang w:bidi="en-US"/>
        </w:rPr>
      </w:pPr>
      <w:r w:rsidRPr="4162B6B1" w:rsidR="6CBE4C7F">
        <w:rPr>
          <w:rFonts w:ascii="Calibri" w:hAnsi="Calibri" w:eastAsia="Times New Roman" w:cs="Calibri"/>
          <w:sz w:val="22"/>
          <w:szCs w:val="22"/>
          <w:lang w:bidi="en-US"/>
        </w:rPr>
        <w:t>The role of the coalition depends on the size and scope of the disaster</w:t>
      </w:r>
      <w:r w:rsidRPr="4162B6B1" w:rsidR="6CBE4C7F">
        <w:rPr>
          <w:rFonts w:ascii="Calibri" w:hAnsi="Calibri" w:eastAsia="Times New Roman" w:cs="Calibri"/>
          <w:sz w:val="22"/>
          <w:szCs w:val="22"/>
          <w:lang w:bidi="en-US"/>
        </w:rPr>
        <w:t xml:space="preserve">. </w:t>
      </w:r>
      <w:r w:rsidRPr="4162B6B1" w:rsidR="6CBE4C7F">
        <w:rPr>
          <w:rFonts w:ascii="Calibri" w:hAnsi="Calibri" w:eastAsia="Times New Roman" w:cs="Calibri"/>
          <w:sz w:val="22"/>
          <w:szCs w:val="22"/>
          <w:lang w:bidi="en-US"/>
        </w:rPr>
        <w:t>The coalition may:</w:t>
      </w:r>
    </w:p>
    <w:p w:rsidRPr="0053177B" w:rsidR="0053177B" w:rsidP="008F1731" w:rsidRDefault="0053177B" w14:paraId="32A47AB2" w14:textId="77777777">
      <w:pPr>
        <w:spacing w:before="0" w:line="276" w:lineRule="auto"/>
        <w:ind w:left="1170"/>
        <w:rPr>
          <w:rFonts w:ascii="Calibri" w:hAnsi="Calibri" w:eastAsia="Times New Roman" w:cs="Calibri"/>
          <w:sz w:val="22"/>
          <w:lang w:bidi="en-US"/>
        </w:rPr>
      </w:pPr>
      <w:r w:rsidRPr="0053177B">
        <w:rPr>
          <w:rFonts w:ascii="Calibri" w:hAnsi="Calibri" w:eastAsia="Times New Roman" w:cs="Calibri"/>
          <w:sz w:val="22"/>
          <w:lang w:bidi="en-US"/>
        </w:rPr>
        <w:lastRenderedPageBreak/>
        <w:t>•</w:t>
      </w:r>
      <w:r w:rsidRPr="0053177B">
        <w:rPr>
          <w:rFonts w:ascii="Calibri" w:hAnsi="Calibri" w:eastAsia="Times New Roman" w:cs="Calibri"/>
          <w:sz w:val="22"/>
          <w:lang w:bidi="en-US"/>
        </w:rPr>
        <w:tab/>
      </w:r>
      <w:r w:rsidRPr="0053177B">
        <w:rPr>
          <w:rFonts w:ascii="Calibri" w:hAnsi="Calibri" w:eastAsia="Times New Roman" w:cs="Calibri"/>
          <w:sz w:val="22"/>
          <w:lang w:bidi="en-US"/>
        </w:rPr>
        <w:t>Facilitate communication with regional and state partners</w:t>
      </w:r>
    </w:p>
    <w:p w:rsidRPr="0053177B" w:rsidR="0053177B" w:rsidP="008F1731" w:rsidRDefault="0053177B" w14:paraId="6B03BF53" w14:textId="77777777">
      <w:pPr>
        <w:spacing w:before="0" w:line="276" w:lineRule="auto"/>
        <w:ind w:left="1170"/>
        <w:rPr>
          <w:rFonts w:ascii="Calibri" w:hAnsi="Calibri" w:eastAsia="Times New Roman" w:cs="Calibri"/>
          <w:sz w:val="22"/>
          <w:lang w:bidi="en-US"/>
        </w:rPr>
      </w:pPr>
      <w:r w:rsidRPr="0053177B">
        <w:rPr>
          <w:rFonts w:ascii="Calibri" w:hAnsi="Calibri" w:eastAsia="Times New Roman" w:cs="Calibri"/>
          <w:sz w:val="22"/>
          <w:lang w:bidi="en-US"/>
        </w:rPr>
        <w:t>•</w:t>
      </w:r>
      <w:r w:rsidRPr="0053177B">
        <w:rPr>
          <w:rFonts w:ascii="Calibri" w:hAnsi="Calibri" w:eastAsia="Times New Roman" w:cs="Calibri"/>
          <w:sz w:val="22"/>
          <w:lang w:bidi="en-US"/>
        </w:rPr>
        <w:tab/>
      </w:r>
      <w:r w:rsidRPr="0053177B">
        <w:rPr>
          <w:rFonts w:ascii="Calibri" w:hAnsi="Calibri" w:eastAsia="Times New Roman" w:cs="Calibri"/>
          <w:sz w:val="22"/>
          <w:lang w:bidi="en-US"/>
        </w:rPr>
        <w:t>Work with local emergency management officials, as necessary</w:t>
      </w:r>
    </w:p>
    <w:p w:rsidR="0053177B" w:rsidP="008F1731" w:rsidRDefault="0053177B" w14:paraId="09CFC9FE" w14:textId="11634FB2">
      <w:pPr>
        <w:spacing w:before="0" w:line="276" w:lineRule="auto"/>
        <w:ind w:left="1170"/>
        <w:rPr>
          <w:rFonts w:ascii="Calibri" w:hAnsi="Calibri" w:eastAsia="Times New Roman" w:cs="Calibri"/>
          <w:sz w:val="22"/>
          <w:lang w:bidi="en-US"/>
        </w:rPr>
      </w:pPr>
      <w:r w:rsidRPr="0053177B">
        <w:rPr>
          <w:rFonts w:ascii="Calibri" w:hAnsi="Calibri" w:eastAsia="Times New Roman" w:cs="Calibri"/>
          <w:sz w:val="22"/>
          <w:lang w:bidi="en-US"/>
        </w:rPr>
        <w:t>•</w:t>
      </w:r>
      <w:r w:rsidRPr="0053177B">
        <w:rPr>
          <w:rFonts w:ascii="Calibri" w:hAnsi="Calibri" w:eastAsia="Times New Roman" w:cs="Calibri"/>
          <w:sz w:val="22"/>
          <w:lang w:bidi="en-US"/>
        </w:rPr>
        <w:tab/>
      </w:r>
      <w:r w:rsidRPr="0053177B">
        <w:rPr>
          <w:rFonts w:ascii="Calibri" w:hAnsi="Calibri" w:eastAsia="Times New Roman" w:cs="Calibri"/>
          <w:sz w:val="22"/>
          <w:lang w:bidi="en-US"/>
        </w:rPr>
        <w:t>Aid in the regional patient tracking process</w:t>
      </w:r>
    </w:p>
    <w:p w:rsidRPr="0053177B" w:rsidR="0053177B" w:rsidP="008F1731" w:rsidRDefault="0053177B" w14:paraId="29F5135E" w14:textId="77777777">
      <w:pPr>
        <w:spacing w:before="0" w:line="276" w:lineRule="auto"/>
        <w:ind w:left="1170"/>
        <w:rPr>
          <w:rFonts w:ascii="Calibri" w:hAnsi="Calibri" w:eastAsia="Times New Roman" w:cs="Calibri"/>
          <w:sz w:val="22"/>
          <w:lang w:bidi="en-US"/>
        </w:rPr>
      </w:pPr>
    </w:p>
    <w:p w:rsidR="00F07F63" w:rsidP="0053177B" w:rsidRDefault="00103AC3" w14:paraId="7B80D008" w14:textId="77777777">
      <w:pPr>
        <w:pStyle w:val="Heading2"/>
        <w:ind w:left="0"/>
      </w:pPr>
      <w:bookmarkStart w:name="_Toc103411588" w:id="67"/>
      <w:bookmarkStart w:name="_Toc103417387" w:id="68"/>
      <w:r>
        <w:t>2.4 Continuity of Operations</w:t>
      </w:r>
      <w:bookmarkEnd w:id="67"/>
      <w:bookmarkEnd w:id="68"/>
    </w:p>
    <w:p w:rsidRPr="0053177B" w:rsidR="0053177B" w:rsidP="4162B6B1" w:rsidRDefault="0053177B" w14:paraId="05107E28" w14:textId="5B3C725B">
      <w:pPr>
        <w:spacing w:before="120" w:after="120" w:line="276" w:lineRule="auto"/>
        <w:ind w:left="0"/>
        <w:rPr>
          <w:rFonts w:ascii="Calibri" w:hAnsi="Calibri" w:eastAsia="Times New Roman" w:cs="Times New Roman"/>
          <w:sz w:val="22"/>
          <w:szCs w:val="22"/>
          <w:lang w:bidi="en-US"/>
        </w:rPr>
      </w:pPr>
      <w:r w:rsidRPr="4162B6B1" w:rsidR="6CBE4C7F">
        <w:rPr>
          <w:rFonts w:ascii="Calibri" w:hAnsi="Calibri" w:eastAsia="Times New Roman" w:cs="Times New Roman"/>
          <w:sz w:val="22"/>
          <w:szCs w:val="22"/>
          <w:lang w:bidi="en-US"/>
        </w:rPr>
        <w:t>The ability of the coalition to support its’ members in a response relies on the availability of coalition staff as well as the involvement of members supporting the coalitions’ activities</w:t>
      </w:r>
      <w:r w:rsidRPr="4162B6B1" w:rsidR="6CBE4C7F">
        <w:rPr>
          <w:rFonts w:ascii="Calibri" w:hAnsi="Calibri" w:eastAsia="Times New Roman" w:cs="Times New Roman"/>
          <w:sz w:val="22"/>
          <w:szCs w:val="22"/>
          <w:lang w:bidi="en-US"/>
        </w:rPr>
        <w:t xml:space="preserve">. </w:t>
      </w:r>
      <w:r w:rsidRPr="4162B6B1" w:rsidR="6CBE4C7F">
        <w:rPr>
          <w:rFonts w:ascii="Calibri" w:hAnsi="Calibri" w:eastAsia="Times New Roman" w:cs="Times New Roman"/>
          <w:sz w:val="22"/>
          <w:szCs w:val="22"/>
          <w:lang w:bidi="en-US"/>
        </w:rPr>
        <w:t>Processes in place to support the continuity for the coalition HMAC include:</w:t>
      </w:r>
    </w:p>
    <w:p w:rsidRPr="003265D0" w:rsidR="0053177B" w:rsidP="003265D0" w:rsidRDefault="0053177B" w14:paraId="64C48AD0" w14:textId="77777777">
      <w:pPr>
        <w:pStyle w:val="ListParagraph"/>
        <w:numPr>
          <w:ilvl w:val="0"/>
          <w:numId w:val="49"/>
        </w:numPr>
        <w:spacing w:before="60" w:after="60" w:line="276" w:lineRule="auto"/>
        <w:rPr>
          <w:rFonts w:ascii="Calibri" w:hAnsi="Calibri" w:eastAsia="Times New Roman" w:cs="Times New Roman"/>
          <w:sz w:val="22"/>
          <w:lang w:bidi="en-US"/>
        </w:rPr>
      </w:pPr>
      <w:r w:rsidRPr="003265D0">
        <w:rPr>
          <w:rFonts w:ascii="Calibri" w:hAnsi="Calibri" w:eastAsia="Times New Roman" w:cs="Times New Roman"/>
          <w:sz w:val="22"/>
          <w:lang w:bidi="en-US"/>
        </w:rPr>
        <w:t>Regional Health care Response Team</w:t>
      </w:r>
    </w:p>
    <w:p w:rsidRPr="003265D0" w:rsidR="0053177B" w:rsidP="003265D0" w:rsidRDefault="0053177B" w14:paraId="630E35F0" w14:textId="77777777">
      <w:pPr>
        <w:pStyle w:val="ListParagraph"/>
        <w:numPr>
          <w:ilvl w:val="0"/>
          <w:numId w:val="49"/>
        </w:numPr>
        <w:spacing w:before="60" w:after="60" w:line="276" w:lineRule="auto"/>
        <w:rPr>
          <w:rFonts w:ascii="Calibri" w:hAnsi="Calibri" w:eastAsia="Times New Roman" w:cs="Times New Roman"/>
          <w:sz w:val="22"/>
          <w:lang w:bidi="en-US"/>
        </w:rPr>
      </w:pPr>
      <w:r w:rsidRPr="003265D0">
        <w:rPr>
          <w:rFonts w:ascii="Calibri" w:hAnsi="Calibri" w:eastAsia="Times New Roman" w:cs="Times New Roman"/>
          <w:sz w:val="22"/>
          <w:lang w:bidi="en-US"/>
        </w:rPr>
        <w:t>Redundant communications</w:t>
      </w:r>
    </w:p>
    <w:p w:rsidRPr="003265D0" w:rsidR="0053177B" w:rsidP="003265D0" w:rsidRDefault="0053177B" w14:paraId="33381300" w14:textId="77777777">
      <w:pPr>
        <w:pStyle w:val="ListParagraph"/>
        <w:numPr>
          <w:ilvl w:val="0"/>
          <w:numId w:val="49"/>
        </w:numPr>
        <w:spacing w:before="60" w:after="60" w:line="276" w:lineRule="auto"/>
        <w:rPr>
          <w:rFonts w:ascii="Calibri" w:hAnsi="Calibri" w:eastAsia="Times New Roman" w:cs="Times New Roman"/>
          <w:sz w:val="22"/>
          <w:lang w:bidi="en-US"/>
        </w:rPr>
      </w:pPr>
      <w:r w:rsidRPr="003265D0">
        <w:rPr>
          <w:rFonts w:ascii="Calibri" w:hAnsi="Calibri" w:eastAsia="Times New Roman" w:cs="Times New Roman"/>
          <w:sz w:val="22"/>
          <w:lang w:bidi="en-US"/>
        </w:rPr>
        <w:t>Coalition to coalition relationships</w:t>
      </w:r>
    </w:p>
    <w:p w:rsidRPr="003265D0" w:rsidR="0053177B" w:rsidP="003265D0" w:rsidRDefault="0053177B" w14:paraId="093DC68A" w14:textId="77777777">
      <w:pPr>
        <w:pStyle w:val="ListParagraph"/>
        <w:numPr>
          <w:ilvl w:val="0"/>
          <w:numId w:val="49"/>
        </w:numPr>
        <w:spacing w:before="60" w:after="60" w:line="276" w:lineRule="auto"/>
        <w:rPr>
          <w:rFonts w:ascii="Calibri" w:hAnsi="Calibri" w:eastAsia="Times New Roman" w:cs="Times New Roman"/>
          <w:sz w:val="22"/>
          <w:lang w:bidi="en-US"/>
        </w:rPr>
      </w:pPr>
      <w:r w:rsidRPr="003265D0">
        <w:rPr>
          <w:rFonts w:ascii="Calibri" w:hAnsi="Calibri" w:eastAsia="Times New Roman" w:cs="Times New Roman"/>
          <w:sz w:val="22"/>
          <w:lang w:bidi="en-US"/>
        </w:rPr>
        <w:t>Administrative and financial support</w:t>
      </w:r>
    </w:p>
    <w:p w:rsidRPr="003265D0" w:rsidR="0053177B" w:rsidP="003265D0" w:rsidRDefault="0053177B" w14:paraId="21F63FF3" w14:textId="1F5A6312">
      <w:pPr>
        <w:pStyle w:val="ListParagraph"/>
        <w:numPr>
          <w:ilvl w:val="0"/>
          <w:numId w:val="49"/>
        </w:numPr>
        <w:spacing w:before="60" w:after="60" w:line="276" w:lineRule="auto"/>
        <w:rPr>
          <w:rFonts w:ascii="Calibri" w:hAnsi="Calibri" w:eastAsia="Times New Roman" w:cs="Times New Roman"/>
          <w:b/>
          <w:sz w:val="22"/>
          <w:lang w:bidi="en-US"/>
        </w:rPr>
      </w:pPr>
      <w:r w:rsidRPr="003265D0">
        <w:rPr>
          <w:rFonts w:ascii="Calibri" w:hAnsi="Calibri" w:eastAsia="Times New Roman" w:cs="Times New Roman"/>
          <w:sz w:val="22"/>
          <w:lang w:bidi="en-US"/>
        </w:rPr>
        <w:t>Alignment between coalition and individual organization plans</w:t>
      </w:r>
    </w:p>
    <w:p w:rsidRPr="003265D0" w:rsidR="003265D0" w:rsidP="003265D0" w:rsidRDefault="003265D0" w14:paraId="6997646E" w14:textId="77777777">
      <w:pPr>
        <w:pStyle w:val="ListParagraph"/>
        <w:spacing w:before="60" w:after="60" w:line="276" w:lineRule="auto"/>
        <w:ind w:left="1080"/>
        <w:rPr>
          <w:rFonts w:ascii="Calibri" w:hAnsi="Calibri" w:eastAsia="Times New Roman" w:cs="Times New Roman"/>
          <w:b/>
          <w:sz w:val="22"/>
          <w:lang w:bidi="en-US"/>
        </w:rPr>
      </w:pPr>
    </w:p>
    <w:p w:rsidR="0053177B" w:rsidP="003265D0" w:rsidRDefault="003265D0" w14:paraId="7F00205F" w14:textId="330AAF49">
      <w:pPr>
        <w:spacing w:line="276" w:lineRule="auto"/>
        <w:ind w:left="0"/>
        <w:rPr>
          <w:rFonts w:ascii="Calibri" w:hAnsi="Calibri" w:eastAsia="Times New Roman" w:cs="Times New Roman"/>
          <w:bCs/>
          <w:sz w:val="22"/>
          <w:lang w:bidi="en-US"/>
        </w:rPr>
      </w:pPr>
      <w:r>
        <w:rPr>
          <w:rFonts w:ascii="Calibri" w:hAnsi="Calibri" w:eastAsia="Times New Roman" w:cs="Times New Roman"/>
          <w:bCs/>
          <w:sz w:val="22"/>
          <w:lang w:bidi="en-US"/>
        </w:rPr>
        <w:t>(S</w:t>
      </w:r>
      <w:r w:rsidRPr="0053177B" w:rsidR="0053177B">
        <w:rPr>
          <w:rFonts w:ascii="Calibri" w:hAnsi="Calibri" w:eastAsia="Times New Roman" w:cs="Times New Roman"/>
          <w:bCs/>
          <w:sz w:val="22"/>
          <w:lang w:bidi="en-US"/>
        </w:rPr>
        <w:t xml:space="preserve">ee the </w:t>
      </w:r>
      <w:r>
        <w:rPr>
          <w:rFonts w:ascii="Calibri" w:hAnsi="Calibri" w:eastAsia="Times New Roman" w:cs="Times New Roman"/>
          <w:bCs/>
          <w:sz w:val="22"/>
          <w:lang w:bidi="en-US"/>
        </w:rPr>
        <w:t xml:space="preserve">CMHPC Preparedness Plan – Appendix 5.5 </w:t>
      </w:r>
      <w:r w:rsidRPr="0053177B" w:rsidR="0053177B">
        <w:rPr>
          <w:rFonts w:ascii="Calibri" w:hAnsi="Calibri" w:eastAsia="Times New Roman" w:cs="Times New Roman"/>
          <w:bCs/>
          <w:sz w:val="22"/>
          <w:lang w:bidi="en-US"/>
        </w:rPr>
        <w:t>Continuity of Operations Plan</w:t>
      </w:r>
      <w:r>
        <w:rPr>
          <w:rFonts w:ascii="Calibri" w:hAnsi="Calibri" w:eastAsia="Times New Roman" w:cs="Times New Roman"/>
          <w:bCs/>
          <w:sz w:val="22"/>
          <w:lang w:bidi="en-US"/>
        </w:rPr>
        <w:t>)</w:t>
      </w:r>
      <w:r w:rsidRPr="0053177B" w:rsidR="0053177B">
        <w:rPr>
          <w:rFonts w:ascii="Calibri" w:hAnsi="Calibri" w:eastAsia="Times New Roman" w:cs="Times New Roman"/>
          <w:bCs/>
          <w:sz w:val="22"/>
          <w:lang w:bidi="en-US"/>
        </w:rPr>
        <w:t xml:space="preserve"> </w:t>
      </w:r>
    </w:p>
    <w:p w:rsidRPr="0053177B" w:rsidR="003265D0" w:rsidP="003265D0" w:rsidRDefault="003265D0" w14:paraId="32628791" w14:textId="77777777">
      <w:pPr>
        <w:spacing w:line="276" w:lineRule="auto"/>
        <w:ind w:left="0"/>
        <w:rPr>
          <w:rFonts w:ascii="Calibri" w:hAnsi="Calibri" w:eastAsia="Times New Roman" w:cs="Times New Roman"/>
          <w:bCs/>
          <w:sz w:val="22"/>
          <w:lang w:bidi="en-US"/>
        </w:rPr>
      </w:pPr>
    </w:p>
    <w:p w:rsidRPr="003265D0" w:rsidR="00792065" w:rsidP="00261652" w:rsidRDefault="00792065" w14:paraId="4E1CF1A1" w14:textId="77777777">
      <w:pPr>
        <w:pStyle w:val="Heading3"/>
      </w:pPr>
      <w:bookmarkStart w:name="_Toc103411589" w:id="69"/>
      <w:bookmarkStart w:name="_Toc103417388" w:id="70"/>
      <w:r w:rsidRPr="003265D0">
        <w:t>Redundant communications</w:t>
      </w:r>
      <w:bookmarkEnd w:id="69"/>
      <w:bookmarkEnd w:id="70"/>
    </w:p>
    <w:p w:rsidRPr="003265D0" w:rsidR="003265D0" w:rsidP="4162B6B1" w:rsidRDefault="003265D0" w14:paraId="5594C1E3" w14:textId="39A53686">
      <w:pPr>
        <w:spacing w:before="120" w:after="120" w:line="276" w:lineRule="auto"/>
        <w:ind w:left="720"/>
        <w:rPr>
          <w:rFonts w:ascii="Calibri" w:hAnsi="Calibri" w:eastAsia="Times New Roman" w:cs="Times New Roman"/>
          <w:sz w:val="22"/>
          <w:szCs w:val="22"/>
          <w:lang w:bidi="en-US"/>
        </w:rPr>
      </w:pPr>
      <w:r w:rsidRPr="4162B6B1" w:rsidR="0B845683">
        <w:rPr>
          <w:rFonts w:ascii="Calibri" w:hAnsi="Calibri" w:eastAsia="Times New Roman" w:cs="Times New Roman"/>
          <w:sz w:val="22"/>
          <w:szCs w:val="22"/>
          <w:lang w:bidi="en-US"/>
        </w:rPr>
        <w:t xml:space="preserve">As discussed in the communications plan, the coalition can </w:t>
      </w:r>
      <w:r w:rsidRPr="4162B6B1" w:rsidR="0B845683">
        <w:rPr>
          <w:rFonts w:ascii="Calibri" w:hAnsi="Calibri" w:eastAsia="Times New Roman" w:cs="Times New Roman"/>
          <w:sz w:val="22"/>
          <w:szCs w:val="22"/>
          <w:lang w:bidi="en-US"/>
        </w:rPr>
        <w:t>utilize</w:t>
      </w:r>
      <w:r w:rsidRPr="4162B6B1" w:rsidR="0B845683">
        <w:rPr>
          <w:rFonts w:ascii="Calibri" w:hAnsi="Calibri" w:eastAsia="Times New Roman" w:cs="Times New Roman"/>
          <w:sz w:val="22"/>
          <w:szCs w:val="22"/>
          <w:lang w:bidi="en-US"/>
        </w:rPr>
        <w:t xml:space="preserve"> multiple forms of communications</w:t>
      </w:r>
      <w:r w:rsidRPr="4162B6B1" w:rsidR="0B845683">
        <w:rPr>
          <w:rFonts w:ascii="Calibri" w:hAnsi="Calibri" w:eastAsia="Times New Roman" w:cs="Times New Roman"/>
          <w:sz w:val="22"/>
          <w:szCs w:val="22"/>
          <w:lang w:bidi="en-US"/>
        </w:rPr>
        <w:t xml:space="preserve">. </w:t>
      </w:r>
      <w:r w:rsidRPr="4162B6B1" w:rsidR="0B845683">
        <w:rPr>
          <w:rFonts w:ascii="Calibri" w:hAnsi="Calibri" w:eastAsia="Times New Roman" w:cs="Times New Roman"/>
          <w:sz w:val="22"/>
          <w:szCs w:val="22"/>
          <w:lang w:bidi="en-US"/>
        </w:rPr>
        <w:t xml:space="preserve">The primary means of communications during a response will be the </w:t>
      </w:r>
      <w:r w:rsidRPr="4162B6B1" w:rsidR="0B845683">
        <w:rPr>
          <w:rFonts w:ascii="Calibri" w:hAnsi="Calibri" w:eastAsia="Times New Roman" w:cs="Times New Roman"/>
          <w:sz w:val="22"/>
          <w:szCs w:val="22"/>
          <w:lang w:bidi="en-US"/>
        </w:rPr>
        <w:t>MNTrac</w:t>
      </w:r>
      <w:r w:rsidRPr="4162B6B1" w:rsidR="0B845683">
        <w:rPr>
          <w:rFonts w:ascii="Calibri" w:hAnsi="Calibri" w:eastAsia="Times New Roman" w:cs="Times New Roman"/>
          <w:sz w:val="22"/>
          <w:szCs w:val="22"/>
          <w:lang w:bidi="en-US"/>
        </w:rPr>
        <w:t xml:space="preserve"> system, however, if </w:t>
      </w:r>
      <w:r w:rsidRPr="4162B6B1" w:rsidR="0B845683">
        <w:rPr>
          <w:rFonts w:ascii="Calibri" w:hAnsi="Calibri" w:eastAsia="Times New Roman" w:cs="Times New Roman"/>
          <w:sz w:val="22"/>
          <w:szCs w:val="22"/>
          <w:lang w:bidi="en-US"/>
        </w:rPr>
        <w:t>MNTrac</w:t>
      </w:r>
      <w:r w:rsidRPr="4162B6B1" w:rsidR="0B845683">
        <w:rPr>
          <w:rFonts w:ascii="Calibri" w:hAnsi="Calibri" w:eastAsia="Times New Roman" w:cs="Times New Roman"/>
          <w:sz w:val="22"/>
          <w:szCs w:val="22"/>
          <w:lang w:bidi="en-US"/>
        </w:rPr>
        <w:t xml:space="preserve"> is unavailable, the coalition may use WebEx or other communication software. To obtain bed availability or situational awareness, the coalition can use SurveyMonkey in the absence of MNTrac.</w:t>
      </w:r>
    </w:p>
    <w:p w:rsidRPr="003265D0" w:rsidR="003265D0" w:rsidP="4162B6B1" w:rsidRDefault="003265D0" w14:paraId="46DF1647" w14:textId="5C075D7D">
      <w:pPr>
        <w:spacing w:before="120" w:after="120" w:line="276" w:lineRule="auto"/>
        <w:ind w:left="720"/>
        <w:rPr>
          <w:rFonts w:ascii="Calibri" w:hAnsi="Calibri" w:eastAsia="Times New Roman" w:cs="Times New Roman"/>
          <w:sz w:val="22"/>
          <w:szCs w:val="22"/>
          <w:lang w:bidi="en-US"/>
        </w:rPr>
      </w:pPr>
      <w:r w:rsidRPr="4162B6B1" w:rsidR="0B845683">
        <w:rPr>
          <w:rFonts w:ascii="Calibri" w:hAnsi="Calibri" w:eastAsia="Times New Roman" w:cs="Times New Roman"/>
          <w:sz w:val="22"/>
          <w:szCs w:val="22"/>
          <w:lang w:bidi="en-US"/>
        </w:rPr>
        <w:t>Redundant radio communications include 800 MHz, VHF/UHF, and Ham Radio</w:t>
      </w:r>
      <w:r w:rsidRPr="4162B6B1" w:rsidR="0B845683">
        <w:rPr>
          <w:rFonts w:ascii="Calibri" w:hAnsi="Calibri" w:eastAsia="Times New Roman" w:cs="Times New Roman"/>
          <w:sz w:val="22"/>
          <w:szCs w:val="22"/>
          <w:lang w:bidi="en-US"/>
        </w:rPr>
        <w:t xml:space="preserve">. </w:t>
      </w:r>
      <w:r w:rsidRPr="4162B6B1" w:rsidR="0B845683">
        <w:rPr>
          <w:rFonts w:ascii="Calibri" w:hAnsi="Calibri" w:eastAsia="Times New Roman" w:cs="Times New Roman"/>
          <w:sz w:val="22"/>
          <w:szCs w:val="22"/>
          <w:lang w:bidi="en-US"/>
        </w:rPr>
        <w:t xml:space="preserve">Depending on the situation, talk groups or channels will be assigned and communicated to membership via </w:t>
      </w:r>
      <w:r w:rsidRPr="4162B6B1" w:rsidR="0B845683">
        <w:rPr>
          <w:rFonts w:ascii="Calibri" w:hAnsi="Calibri" w:eastAsia="Times New Roman" w:cs="Times New Roman"/>
          <w:sz w:val="22"/>
          <w:szCs w:val="22"/>
          <w:lang w:bidi="en-US"/>
        </w:rPr>
        <w:t>MNTrac</w:t>
      </w:r>
      <w:r w:rsidRPr="4162B6B1" w:rsidR="0B845683">
        <w:rPr>
          <w:rFonts w:ascii="Calibri" w:hAnsi="Calibri" w:eastAsia="Times New Roman" w:cs="Times New Roman"/>
          <w:sz w:val="22"/>
          <w:szCs w:val="22"/>
          <w:lang w:bidi="en-US"/>
        </w:rPr>
        <w:t xml:space="preserve">, email, or direct phone calls. </w:t>
      </w:r>
    </w:p>
    <w:p w:rsidRPr="008C1321" w:rsidR="008C1321" w:rsidP="008C1321" w:rsidRDefault="008C1321" w14:paraId="39CBD515" w14:textId="6C96A261">
      <w:pPr>
        <w:spacing w:before="0" w:line="240" w:lineRule="auto"/>
        <w:ind w:left="720"/>
        <w:rPr>
          <w:rFonts w:ascii="Calibri" w:hAnsi="Calibri" w:eastAsia="Times New Roman" w:cs="Times New Roman"/>
          <w:sz w:val="22"/>
          <w:lang w:bidi="en-US"/>
        </w:rPr>
      </w:pPr>
      <w:r w:rsidRPr="008C1321">
        <w:rPr>
          <w:rFonts w:ascii="Calibri" w:hAnsi="Calibri" w:eastAsia="Times New Roman" w:cs="Times New Roman"/>
          <w:bCs/>
          <w:sz w:val="22"/>
          <w:lang w:bidi="en-US"/>
        </w:rPr>
        <w:t>(See Appendix 3.5.5</w:t>
      </w:r>
      <w:r>
        <w:rPr>
          <w:rFonts w:ascii="Calibri" w:hAnsi="Calibri" w:eastAsia="Times New Roman" w:cs="Times New Roman"/>
          <w:bCs/>
          <w:sz w:val="22"/>
          <w:lang w:bidi="en-US"/>
        </w:rPr>
        <w:t xml:space="preserve"> Regional</w:t>
      </w:r>
      <w:r w:rsidRPr="008C1321">
        <w:rPr>
          <w:rFonts w:ascii="Calibri" w:hAnsi="Calibri" w:eastAsia="Times New Roman" w:cs="Times New Roman"/>
          <w:sz w:val="22"/>
          <w:lang w:bidi="en-US"/>
        </w:rPr>
        <w:t xml:space="preserve"> Communications Plan)</w:t>
      </w:r>
      <w:r>
        <w:rPr>
          <w:rFonts w:ascii="Calibri" w:hAnsi="Calibri" w:eastAsia="Times New Roman" w:cs="Times New Roman"/>
          <w:sz w:val="22"/>
          <w:lang w:bidi="en-US"/>
        </w:rPr>
        <w:br/>
      </w:r>
    </w:p>
    <w:p w:rsidR="009676D5" w:rsidP="00261652" w:rsidRDefault="009676D5" w14:paraId="7005CD6C" w14:textId="77777777">
      <w:pPr>
        <w:pStyle w:val="Heading3"/>
      </w:pPr>
      <w:bookmarkStart w:name="_Toc103411590" w:id="71"/>
      <w:bookmarkStart w:name="_Toc103417389" w:id="72"/>
      <w:r>
        <w:t>Coalition to coalition relationships</w:t>
      </w:r>
      <w:bookmarkEnd w:id="71"/>
      <w:bookmarkEnd w:id="72"/>
    </w:p>
    <w:p w:rsidRPr="008C1321" w:rsidR="008C1321" w:rsidP="008C1321" w:rsidRDefault="008C1321" w14:paraId="737D3133" w14:textId="77777777">
      <w:pPr>
        <w:spacing w:before="120" w:after="120" w:line="276" w:lineRule="auto"/>
        <w:ind w:left="720"/>
        <w:rPr>
          <w:rFonts w:ascii="Calibri" w:hAnsi="Calibri" w:eastAsia="Times New Roman" w:cs="Times New Roman"/>
          <w:sz w:val="22"/>
          <w:lang w:bidi="en-US"/>
        </w:rPr>
      </w:pPr>
      <w:r w:rsidRPr="008C1321">
        <w:rPr>
          <w:rFonts w:ascii="Calibri" w:hAnsi="Calibri" w:eastAsia="Times New Roman" w:cs="Times New Roman"/>
          <w:sz w:val="22"/>
          <w:lang w:bidi="en-US"/>
        </w:rPr>
        <w:t>The CMHPC works closely with its other Health care Coalition partners. This relationship allows for sharing of resources, personnel, and information. In a response, if the HMAC is activated, the RHPC can immediately notify other RHPCs of the activation and request any support needed.</w:t>
      </w:r>
    </w:p>
    <w:p w:rsidRPr="008C1321" w:rsidR="008C1321" w:rsidP="4162B6B1" w:rsidRDefault="008C1321" w14:paraId="24D5600C" w14:textId="15847FEC">
      <w:pPr>
        <w:spacing w:line="276" w:lineRule="auto"/>
        <w:ind w:left="720"/>
        <w:rPr>
          <w:rFonts w:ascii="Calibri" w:hAnsi="Calibri" w:eastAsia="Times New Roman" w:cs="Times New Roman"/>
          <w:sz w:val="22"/>
          <w:szCs w:val="22"/>
          <w:lang w:bidi="en-US"/>
        </w:rPr>
      </w:pPr>
      <w:r w:rsidRPr="4162B6B1" w:rsidR="32A4BAB8">
        <w:rPr>
          <w:rFonts w:ascii="Calibri" w:hAnsi="Calibri" w:eastAsia="Times New Roman" w:cs="Times New Roman"/>
          <w:sz w:val="22"/>
          <w:szCs w:val="22"/>
          <w:lang w:bidi="en-US"/>
        </w:rPr>
        <w:t xml:space="preserve">The development of working relationships with other coalitions ensures that in </w:t>
      </w:r>
      <w:r w:rsidRPr="4162B6B1" w:rsidR="32A4BAB8">
        <w:rPr>
          <w:rFonts w:ascii="Calibri" w:hAnsi="Calibri" w:eastAsia="Times New Roman" w:cs="Times New Roman"/>
          <w:sz w:val="22"/>
          <w:szCs w:val="22"/>
          <w:lang w:bidi="en-US"/>
        </w:rPr>
        <w:t>a response</w:t>
      </w:r>
      <w:r w:rsidRPr="4162B6B1" w:rsidR="32A4BAB8">
        <w:rPr>
          <w:rFonts w:ascii="Calibri" w:hAnsi="Calibri" w:eastAsia="Times New Roman" w:cs="Times New Roman"/>
          <w:sz w:val="22"/>
          <w:szCs w:val="22"/>
          <w:lang w:bidi="en-US"/>
        </w:rPr>
        <w:t xml:space="preserve">, if the incident exceeds the </w:t>
      </w:r>
      <w:r w:rsidRPr="4162B6B1" w:rsidR="32A4BAB8">
        <w:rPr>
          <w:rFonts w:ascii="Calibri" w:hAnsi="Calibri" w:eastAsia="Times New Roman" w:cs="Times New Roman"/>
          <w:sz w:val="22"/>
          <w:szCs w:val="22"/>
          <w:lang w:bidi="en-US"/>
        </w:rPr>
        <w:t>capacity</w:t>
      </w:r>
      <w:r w:rsidRPr="4162B6B1" w:rsidR="32A4BAB8">
        <w:rPr>
          <w:rFonts w:ascii="Calibri" w:hAnsi="Calibri" w:eastAsia="Times New Roman" w:cs="Times New Roman"/>
          <w:sz w:val="22"/>
          <w:szCs w:val="22"/>
          <w:lang w:bidi="en-US"/>
        </w:rPr>
        <w:t xml:space="preserve"> of the coalition or if it has the potential to </w:t>
      </w:r>
      <w:r w:rsidRPr="4162B6B1" w:rsidR="32A4BAB8">
        <w:rPr>
          <w:rFonts w:ascii="Calibri" w:hAnsi="Calibri" w:eastAsia="Times New Roman" w:cs="Times New Roman"/>
          <w:sz w:val="22"/>
          <w:szCs w:val="22"/>
          <w:lang w:bidi="en-US"/>
        </w:rPr>
        <w:t>impact</w:t>
      </w:r>
      <w:r w:rsidRPr="4162B6B1" w:rsidR="32A4BAB8">
        <w:rPr>
          <w:rFonts w:ascii="Calibri" w:hAnsi="Calibri" w:eastAsia="Times New Roman" w:cs="Times New Roman"/>
          <w:sz w:val="22"/>
          <w:szCs w:val="22"/>
          <w:lang w:bidi="en-US"/>
        </w:rPr>
        <w:t xml:space="preserve"> any other region, the RHPC can contact peers in other regions</w:t>
      </w:r>
      <w:r w:rsidRPr="4162B6B1" w:rsidR="32A4BAB8">
        <w:rPr>
          <w:rFonts w:ascii="Calibri" w:hAnsi="Calibri" w:eastAsia="Times New Roman" w:cs="Times New Roman"/>
          <w:sz w:val="22"/>
          <w:szCs w:val="22"/>
          <w:lang w:bidi="en-US"/>
        </w:rPr>
        <w:t xml:space="preserve">. </w:t>
      </w:r>
      <w:r w:rsidRPr="4162B6B1" w:rsidR="32A4BAB8">
        <w:rPr>
          <w:rFonts w:ascii="Calibri" w:hAnsi="Calibri" w:eastAsia="Times New Roman" w:cs="Times New Roman"/>
          <w:sz w:val="22"/>
          <w:szCs w:val="22"/>
          <w:lang w:bidi="en-US"/>
        </w:rPr>
        <w:t xml:space="preserve">This includes asking the peer to, at a minimum, be a liaison between coalitions, support MNTrac use, and communicate with Minnesota Department of Health. Coalition peers have access to the MNTrac contacts which would help </w:t>
      </w:r>
      <w:r w:rsidRPr="4162B6B1" w:rsidR="32A4BAB8">
        <w:rPr>
          <w:rFonts w:ascii="Calibri" w:hAnsi="Calibri" w:eastAsia="Times New Roman" w:cs="Times New Roman"/>
          <w:sz w:val="22"/>
          <w:szCs w:val="22"/>
          <w:lang w:bidi="en-US"/>
        </w:rPr>
        <w:t>facilitate</w:t>
      </w:r>
      <w:r w:rsidRPr="4162B6B1" w:rsidR="32A4BAB8">
        <w:rPr>
          <w:rFonts w:ascii="Calibri" w:hAnsi="Calibri" w:eastAsia="Times New Roman" w:cs="Times New Roman"/>
          <w:sz w:val="22"/>
          <w:szCs w:val="22"/>
          <w:lang w:bidi="en-US"/>
        </w:rPr>
        <w:t xml:space="preserve"> the availability of the peer RHPC to support the region in a response</w:t>
      </w:r>
      <w:r w:rsidRPr="4162B6B1" w:rsidR="32A4BAB8">
        <w:rPr>
          <w:rFonts w:ascii="Calibri" w:hAnsi="Calibri" w:eastAsia="Times New Roman" w:cs="Times New Roman"/>
          <w:sz w:val="22"/>
          <w:szCs w:val="22"/>
          <w:lang w:bidi="en-US"/>
        </w:rPr>
        <w:t xml:space="preserve">. </w:t>
      </w:r>
    </w:p>
    <w:p w:rsidRPr="008C1321" w:rsidR="009A57D9" w:rsidP="008C1321" w:rsidRDefault="008C1321" w14:paraId="75F26C8A" w14:textId="2432D481">
      <w:pPr>
        <w:spacing w:line="276" w:lineRule="auto"/>
        <w:ind w:left="720"/>
        <w:rPr>
          <w:sz w:val="22"/>
        </w:rPr>
      </w:pPr>
      <w:r>
        <w:rPr>
          <w:sz w:val="22"/>
        </w:rPr>
        <w:t xml:space="preserve">(See </w:t>
      </w:r>
      <w:r w:rsidRPr="008C1321" w:rsidR="002F064B">
        <w:rPr>
          <w:sz w:val="22"/>
        </w:rPr>
        <w:t>Appendix 3.5.</w:t>
      </w:r>
      <w:r w:rsidRPr="008C1321" w:rsidR="00A0575F">
        <w:rPr>
          <w:sz w:val="22"/>
        </w:rPr>
        <w:t>5</w:t>
      </w:r>
      <w:r w:rsidRPr="008C1321" w:rsidR="002F064B">
        <w:rPr>
          <w:sz w:val="22"/>
        </w:rPr>
        <w:t>.1 Inter-Regional Communications Guideline</w:t>
      </w:r>
      <w:r>
        <w:rPr>
          <w:sz w:val="22"/>
        </w:rPr>
        <w:t>)</w:t>
      </w:r>
    </w:p>
    <w:p w:rsidR="008C1321" w:rsidP="008C1321" w:rsidRDefault="008C1321" w14:paraId="57645FBD" w14:textId="77777777">
      <w:pPr>
        <w:spacing w:line="276" w:lineRule="auto"/>
        <w:ind w:left="720"/>
        <w:rPr>
          <w:sz w:val="22"/>
        </w:rPr>
      </w:pPr>
    </w:p>
    <w:p w:rsidRPr="008C1321" w:rsidR="00CE4927" w:rsidP="008C1321" w:rsidRDefault="00CE4927" w14:paraId="4E99A077" w14:textId="4D0F19FA">
      <w:pPr>
        <w:spacing w:line="276" w:lineRule="auto"/>
        <w:ind w:left="720"/>
        <w:rPr>
          <w:sz w:val="22"/>
        </w:rPr>
      </w:pPr>
      <w:r w:rsidRPr="008C1321">
        <w:rPr>
          <w:sz w:val="22"/>
        </w:rPr>
        <w:lastRenderedPageBreak/>
        <w:t xml:space="preserve">The Minnesota Healthcare Coalition Collaborative </w:t>
      </w:r>
      <w:r w:rsidRPr="008C1321" w:rsidR="001E62FA">
        <w:rPr>
          <w:sz w:val="22"/>
        </w:rPr>
        <w:t xml:space="preserve">(MNHCC) </w:t>
      </w:r>
      <w:r w:rsidRPr="008C1321">
        <w:rPr>
          <w:sz w:val="22"/>
        </w:rPr>
        <w:t>was formed during the COVID-19 response to facili</w:t>
      </w:r>
      <w:r w:rsidRPr="008C1321" w:rsidR="001E62FA">
        <w:rPr>
          <w:sz w:val="22"/>
        </w:rPr>
        <w:t>tate cross-regional communications and processes.</w:t>
      </w:r>
    </w:p>
    <w:p w:rsidR="008C1321" w:rsidP="4162B6B1" w:rsidRDefault="00A0575F" w14:paraId="31127634" w14:textId="745075FF">
      <w:pPr>
        <w:spacing w:line="276" w:lineRule="auto"/>
        <w:ind w:left="720"/>
        <w:rPr>
          <w:sz w:val="22"/>
          <w:szCs w:val="22"/>
        </w:rPr>
      </w:pPr>
      <w:r w:rsidRPr="4162B6B1" w:rsidR="6B89C9C0">
        <w:rPr>
          <w:sz w:val="22"/>
          <w:szCs w:val="22"/>
        </w:rPr>
        <w:t xml:space="preserve">The development of the </w:t>
      </w:r>
      <w:r w:rsidRPr="4162B6B1" w:rsidR="40BD0749">
        <w:rPr>
          <w:sz w:val="22"/>
          <w:szCs w:val="22"/>
        </w:rPr>
        <w:t xml:space="preserve">response arm of the MNHCC </w:t>
      </w:r>
      <w:r w:rsidRPr="4162B6B1" w:rsidR="6B89C9C0">
        <w:rPr>
          <w:sz w:val="22"/>
          <w:szCs w:val="22"/>
        </w:rPr>
        <w:t xml:space="preserve">Statewide Healthcare Coalition Coordination Center (SHCC) allows </w:t>
      </w:r>
      <w:r w:rsidRPr="4162B6B1" w:rsidR="6B89C9C0">
        <w:rPr>
          <w:sz w:val="22"/>
          <w:szCs w:val="22"/>
        </w:rPr>
        <w:t>larger</w:t>
      </w:r>
      <w:r w:rsidRPr="4162B6B1" w:rsidR="6B89C9C0">
        <w:rPr>
          <w:sz w:val="22"/>
          <w:szCs w:val="22"/>
        </w:rPr>
        <w:t xml:space="preserve"> scale coordination between the coalitions and the State</w:t>
      </w:r>
      <w:r w:rsidRPr="4162B6B1" w:rsidR="6B89C9C0">
        <w:rPr>
          <w:sz w:val="22"/>
          <w:szCs w:val="22"/>
        </w:rPr>
        <w:t xml:space="preserve">. </w:t>
      </w:r>
    </w:p>
    <w:p w:rsidRPr="008C1321" w:rsidR="00A0575F" w:rsidP="008C1321" w:rsidRDefault="00A0575F" w14:paraId="63F0939F" w14:textId="6486AF28">
      <w:pPr>
        <w:spacing w:line="276" w:lineRule="auto"/>
        <w:ind w:left="720"/>
        <w:rPr>
          <w:sz w:val="22"/>
        </w:rPr>
      </w:pPr>
    </w:p>
    <w:p w:rsidR="00595659" w:rsidP="00261652" w:rsidRDefault="00595659" w14:paraId="1195D770" w14:textId="77777777">
      <w:pPr>
        <w:pStyle w:val="Heading3"/>
      </w:pPr>
      <w:bookmarkStart w:name="_Toc103411591" w:id="73"/>
      <w:bookmarkStart w:name="_Toc103417390" w:id="74"/>
      <w:r>
        <w:t>Alignment between coalition and individual facility level plans</w:t>
      </w:r>
      <w:bookmarkEnd w:id="73"/>
      <w:bookmarkEnd w:id="74"/>
    </w:p>
    <w:p w:rsidRPr="008C1321" w:rsidR="008C1321" w:rsidP="4162B6B1" w:rsidRDefault="008C1321" w14:paraId="18D11481" w14:textId="7E055164">
      <w:pPr>
        <w:spacing w:line="276" w:lineRule="auto"/>
        <w:ind w:left="720"/>
        <w:rPr>
          <w:rFonts w:ascii="Calibri" w:hAnsi="Calibri" w:eastAsia="Times New Roman" w:cs="Times New Roman"/>
          <w:sz w:val="22"/>
          <w:szCs w:val="22"/>
          <w:lang w:bidi="en-US"/>
        </w:rPr>
      </w:pPr>
      <w:r w:rsidRPr="4162B6B1" w:rsidR="32A4BAB8">
        <w:rPr>
          <w:rFonts w:ascii="Calibri" w:hAnsi="Calibri" w:eastAsia="Times New Roman" w:cs="Times New Roman"/>
          <w:sz w:val="22"/>
          <w:szCs w:val="22"/>
          <w:lang w:bidi="en-US"/>
        </w:rPr>
        <w:t xml:space="preserve">Coalition members have access to both the coalition Response plan and the Preparedness plan. These plans are housed on the coalition website and in </w:t>
      </w:r>
      <w:r w:rsidRPr="4162B6B1" w:rsidR="32A4BAB8">
        <w:rPr>
          <w:rFonts w:ascii="Calibri" w:hAnsi="Calibri" w:eastAsia="Times New Roman" w:cs="Times New Roman"/>
          <w:sz w:val="22"/>
          <w:szCs w:val="22"/>
          <w:lang w:bidi="en-US"/>
        </w:rPr>
        <w:t>MNTrac</w:t>
      </w:r>
      <w:r w:rsidRPr="4162B6B1" w:rsidR="32A4BAB8">
        <w:rPr>
          <w:rFonts w:ascii="Calibri" w:hAnsi="Calibri" w:eastAsia="Times New Roman" w:cs="Times New Roman"/>
          <w:sz w:val="22"/>
          <w:szCs w:val="22"/>
          <w:lang w:bidi="en-US"/>
        </w:rPr>
        <w:t xml:space="preserve"> Document Hub</w:t>
      </w:r>
      <w:r w:rsidRPr="4162B6B1" w:rsidR="32A4BAB8">
        <w:rPr>
          <w:rFonts w:ascii="Calibri" w:hAnsi="Calibri" w:eastAsia="Times New Roman" w:cs="Times New Roman"/>
          <w:sz w:val="22"/>
          <w:szCs w:val="22"/>
          <w:lang w:bidi="en-US"/>
        </w:rPr>
        <w:t xml:space="preserve">. </w:t>
      </w:r>
      <w:r w:rsidRPr="4162B6B1" w:rsidR="32A4BAB8">
        <w:rPr>
          <w:rFonts w:ascii="Calibri" w:hAnsi="Calibri" w:eastAsia="Times New Roman" w:cs="Times New Roman"/>
          <w:sz w:val="22"/>
          <w:szCs w:val="22"/>
          <w:lang w:bidi="en-US"/>
        </w:rPr>
        <w:t>The coalition senior advisory committee approves all coalition plans. This process allows for facility level plans to align with the coalition plans to ensure a smoother response and greater awareness of the roles and responsibilities of all entities</w:t>
      </w:r>
    </w:p>
    <w:p w:rsidRPr="008C1321" w:rsidR="00152D68" w:rsidP="00C47609" w:rsidRDefault="00152D68" w14:paraId="166785D6" w14:textId="6F8FC8FC">
      <w:pPr>
        <w:spacing w:line="276" w:lineRule="auto"/>
        <w:ind w:left="0"/>
        <w:rPr>
          <w:sz w:val="22"/>
        </w:rPr>
      </w:pPr>
      <w:r w:rsidRPr="008C1321">
        <w:rPr>
          <w:sz w:val="22"/>
        </w:rPr>
        <w:t xml:space="preserve">Refer to the CMHPC Preparedness </w:t>
      </w:r>
      <w:r w:rsidRPr="008C1321" w:rsidR="00DB1832">
        <w:rPr>
          <w:sz w:val="22"/>
        </w:rPr>
        <w:t xml:space="preserve">Plan - </w:t>
      </w:r>
      <w:r w:rsidRPr="008C1321">
        <w:rPr>
          <w:sz w:val="22"/>
        </w:rPr>
        <w:t xml:space="preserve">Continuity of Operations Plan </w:t>
      </w:r>
      <w:r w:rsidRPr="008C1321" w:rsidR="008456E3">
        <w:rPr>
          <w:sz w:val="22"/>
        </w:rPr>
        <w:t>for a more detailed description and breakdown of the continuity responsibilities of coalition members.</w:t>
      </w:r>
    </w:p>
    <w:p w:rsidR="00DA5B0C" w:rsidP="009C40F8" w:rsidRDefault="00903C6F" w14:paraId="4B1C64BB" w14:textId="4939BFBF">
      <w:pPr>
        <w:pStyle w:val="Heading1"/>
        <w:numPr>
          <w:ilvl w:val="0"/>
          <w:numId w:val="25"/>
        </w:numPr>
      </w:pPr>
      <w:bookmarkStart w:name="_Toc103411592" w:id="75"/>
      <w:bookmarkStart w:name="_Toc103417391" w:id="76"/>
      <w:r>
        <w:t>Appendices</w:t>
      </w:r>
      <w:bookmarkEnd w:id="75"/>
      <w:r w:rsidR="00AB47D0">
        <w:t>/Links</w:t>
      </w:r>
      <w:bookmarkEnd w:id="76"/>
    </w:p>
    <w:p w:rsidR="005E78E6" w:rsidP="005E78E6" w:rsidRDefault="009C40F8" w14:paraId="67B459F5" w14:textId="77777777">
      <w:pPr>
        <w:spacing w:line="276" w:lineRule="auto"/>
        <w:ind w:left="0"/>
        <w:rPr>
          <w:sz w:val="22"/>
        </w:rPr>
      </w:pPr>
      <w:r w:rsidRPr="009C40F8">
        <w:rPr>
          <w:sz w:val="22"/>
        </w:rPr>
        <w:t>Central Minnesota Health Care Preparedness Coalition plans, appendices, and resources are meant to provide guidance to members of the Central Minnesota Health Care Preparedness Coalition members. As with other component of the plans, the documentation is intended as guidance only and does not substitute for the experience of the personnel responsible for making decisions at the time of the incident.</w:t>
      </w:r>
      <w:bookmarkStart w:name="_Toc103411593" w:id="77"/>
    </w:p>
    <w:p w:rsidRPr="005E78E6" w:rsidR="005E78E6" w:rsidP="005E78E6" w:rsidRDefault="00C53414" w14:paraId="69172C62" w14:textId="77777777">
      <w:pPr>
        <w:spacing w:line="276" w:lineRule="auto"/>
        <w:ind w:left="0"/>
        <w:rPr>
          <w:rStyle w:val="SubtitleChar"/>
          <w:sz w:val="22"/>
          <w:szCs w:val="22"/>
        </w:rPr>
      </w:pPr>
      <w:bookmarkStart w:name="_Toc103417392" w:id="78"/>
      <w:r w:rsidRPr="005E78E6">
        <w:rPr>
          <w:rStyle w:val="Heading3Char"/>
        </w:rPr>
        <w:t>3.1 Contact information</w:t>
      </w:r>
      <w:bookmarkEnd w:id="78"/>
      <w:r w:rsidR="00DD1223">
        <w:rPr>
          <w:rStyle w:val="Heading3Char"/>
          <w:b/>
          <w:bCs/>
          <w:i/>
          <w:iCs w:val="0"/>
        </w:rPr>
        <w:br/>
      </w:r>
      <w:r w:rsidRPr="005E78E6" w:rsidR="00DD1223">
        <w:rPr>
          <w:rStyle w:val="SubtitleChar"/>
          <w:sz w:val="22"/>
          <w:szCs w:val="22"/>
        </w:rPr>
        <w:t>C</w:t>
      </w:r>
      <w:r w:rsidRPr="005E78E6" w:rsidR="0040336A">
        <w:rPr>
          <w:rStyle w:val="SubtitleChar"/>
          <w:sz w:val="22"/>
          <w:szCs w:val="22"/>
        </w:rPr>
        <w:t>ontact information is maintained on the coalition website</w:t>
      </w:r>
      <w:bookmarkStart w:name="_Toc103411594" w:id="79"/>
      <w:bookmarkEnd w:id="77"/>
    </w:p>
    <w:p w:rsidRPr="005E78E6" w:rsidR="00DD1223" w:rsidP="005E78E6" w:rsidRDefault="00C53414" w14:paraId="3CB004DE" w14:textId="42C70BA9">
      <w:pPr>
        <w:spacing w:line="276" w:lineRule="auto"/>
        <w:ind w:left="0"/>
        <w:rPr>
          <w:rStyle w:val="Heading3Char"/>
          <w:rFonts w:asciiTheme="minorHAnsi" w:hAnsiTheme="minorHAnsi" w:eastAsiaTheme="minorHAnsi" w:cstheme="minorBidi"/>
          <w:color w:val="auto"/>
          <w:sz w:val="22"/>
          <w:szCs w:val="22"/>
        </w:rPr>
      </w:pPr>
      <w:bookmarkStart w:name="_Toc103417393" w:id="80"/>
      <w:r w:rsidRPr="005E78E6">
        <w:rPr>
          <w:rStyle w:val="Heading3Char"/>
        </w:rPr>
        <w:t>3.2 Hazard Vulnerability Analysis</w:t>
      </w:r>
      <w:bookmarkEnd w:id="80"/>
    </w:p>
    <w:p w:rsidR="005E78E6" w:rsidP="005E78E6" w:rsidRDefault="00DD1223" w14:paraId="01A96ABC" w14:textId="77777777">
      <w:pPr>
        <w:pStyle w:val="Subtitle"/>
        <w:rPr>
          <w:bCs/>
          <w:iCs/>
        </w:rPr>
      </w:pPr>
      <w:r w:rsidRPr="005143AB">
        <w:rPr>
          <w:bCs/>
          <w:iCs/>
        </w:rPr>
        <w:t>R</w:t>
      </w:r>
      <w:r w:rsidRPr="005143AB" w:rsidR="00C9589C">
        <w:rPr>
          <w:bCs/>
          <w:iCs/>
        </w:rPr>
        <w:t xml:space="preserve">efer to </w:t>
      </w:r>
      <w:r w:rsidRPr="005143AB" w:rsidR="00DB1832">
        <w:rPr>
          <w:bCs/>
          <w:iCs/>
        </w:rPr>
        <w:t xml:space="preserve">the Coalition </w:t>
      </w:r>
      <w:r w:rsidRPr="005143AB" w:rsidR="00C9589C">
        <w:rPr>
          <w:bCs/>
          <w:iCs/>
        </w:rPr>
        <w:t>Preparedness Pla</w:t>
      </w:r>
      <w:r w:rsidRPr="005143AB" w:rsidR="0040336A">
        <w:rPr>
          <w:bCs/>
          <w:iCs/>
        </w:rPr>
        <w:t>n</w:t>
      </w:r>
      <w:bookmarkStart w:name="_Toc103411595" w:id="81"/>
      <w:bookmarkEnd w:id="79"/>
    </w:p>
    <w:p w:rsidR="005E78E6" w:rsidP="00A341BA" w:rsidRDefault="005E78E6" w14:paraId="53803141" w14:textId="0EDE4FD6">
      <w:pPr>
        <w:pStyle w:val="Heading3"/>
        <w:rPr>
          <w:rStyle w:val="IntenseEmphasis"/>
          <w:i w:val="0"/>
          <w:iCs/>
          <w:color w:val="0E57C4" w:themeColor="accent4"/>
        </w:rPr>
      </w:pPr>
      <w:bookmarkStart w:name="_Toc103417394" w:id="82"/>
      <w:r w:rsidRPr="005E78E6">
        <w:rPr>
          <w:rStyle w:val="IntenseEmphasis"/>
          <w:iCs/>
          <w:color w:val="0E57C4" w:themeColor="accent4"/>
        </w:rPr>
        <w:t>3.</w:t>
      </w:r>
      <w:r>
        <w:rPr>
          <w:rStyle w:val="IntenseEmphasis"/>
          <w:i w:val="0"/>
          <w:iCs/>
          <w:color w:val="0E57C4" w:themeColor="accent4"/>
        </w:rPr>
        <w:t xml:space="preserve">3 </w:t>
      </w:r>
      <w:r w:rsidRPr="00261652" w:rsidR="00DB1832">
        <w:rPr>
          <w:rStyle w:val="IntenseEmphasis"/>
          <w:i w:val="0"/>
          <w:iCs/>
          <w:color w:val="0E57C4" w:themeColor="accent4"/>
        </w:rPr>
        <w:t>HCC Coordination Job Aids/Position Descriptions</w:t>
      </w:r>
      <w:bookmarkEnd w:id="81"/>
      <w:bookmarkEnd w:id="82"/>
    </w:p>
    <w:p w:rsidR="00A341BA" w:rsidP="00A933B1" w:rsidRDefault="00DB24BB" w14:paraId="51F06892" w14:textId="77777777">
      <w:pPr>
        <w:ind w:left="0"/>
      </w:pPr>
      <w:hyperlink w:history="1" r:id="rId24">
        <w:r w:rsidRPr="00AB47D0">
          <w:rPr>
            <w:rStyle w:val="Hyperlink"/>
            <w:sz w:val="22"/>
          </w:rPr>
          <w:t>Emergency Management Institute | ICS Fillable Forms (fema.gov)</w:t>
        </w:r>
      </w:hyperlink>
      <w:bookmarkStart w:name="_Toc103411596" w:id="83"/>
    </w:p>
    <w:p w:rsidRPr="005E78E6" w:rsidR="004F454D" w:rsidP="00261652" w:rsidRDefault="00C43FAC" w14:paraId="5DF33982" w14:textId="5367D8AE">
      <w:pPr>
        <w:pStyle w:val="Heading3"/>
        <w:rPr>
          <w:bCs/>
        </w:rPr>
      </w:pPr>
      <w:bookmarkStart w:name="_Toc103417395" w:id="84"/>
      <w:r w:rsidRPr="00261652">
        <w:rPr>
          <w:rStyle w:val="Heading3Char"/>
        </w:rPr>
        <w:t xml:space="preserve">3.4 </w:t>
      </w:r>
      <w:r w:rsidRPr="00261652" w:rsidR="00F11D0C">
        <w:rPr>
          <w:rStyle w:val="Heading3Char"/>
        </w:rPr>
        <w:t>Applicable Report and Status Forms, Supply Lists e</w:t>
      </w:r>
      <w:r w:rsidRPr="00261652" w:rsidR="00CC5826">
        <w:rPr>
          <w:rStyle w:val="Heading3Char"/>
        </w:rPr>
        <w:t>tc</w:t>
      </w:r>
      <w:r w:rsidRPr="00261652" w:rsidR="00F11D0C">
        <w:t>.</w:t>
      </w:r>
      <w:bookmarkStart w:name="_Toc103411597" w:id="85"/>
      <w:bookmarkEnd w:id="83"/>
      <w:bookmarkEnd w:id="84"/>
    </w:p>
    <w:p w:rsidR="00261652" w:rsidP="00261652" w:rsidRDefault="00C43FAC" w14:paraId="1D93E960" w14:textId="77777777">
      <w:pPr>
        <w:pStyle w:val="Heading4"/>
      </w:pPr>
      <w:bookmarkStart w:name="_Toc103417396" w:id="86"/>
      <w:r>
        <w:t xml:space="preserve">3.4.1 </w:t>
      </w:r>
      <w:bookmarkEnd w:id="85"/>
      <w:r w:rsidRPr="00AB47D0" w:rsidR="0035294A">
        <w:fldChar w:fldCharType="begin"/>
      </w:r>
      <w:r w:rsidRPr="00AB47D0" w:rsidR="0035294A">
        <w:instrText xml:space="preserve"> HYPERLINK "https://www.fema.gov/sites/default/files/2020-07/Incident_Action_Planning_Guide_Revision1_august2015.pdf" </w:instrText>
      </w:r>
      <w:r w:rsidRPr="00AB47D0" w:rsidR="0035294A">
        <w:fldChar w:fldCharType="separate"/>
      </w:r>
      <w:r w:rsidRPr="00AB47D0" w:rsidR="0035294A">
        <w:rPr>
          <w:rStyle w:val="Hyperlink"/>
          <w:sz w:val="22"/>
        </w:rPr>
        <w:t>Incident Action Planning Guide Revision 1 / July 2015 (fema.gov)</w:t>
      </w:r>
      <w:bookmarkEnd w:id="86"/>
      <w:r w:rsidRPr="00AB47D0" w:rsidR="0035294A">
        <w:fldChar w:fldCharType="end"/>
      </w:r>
      <w:bookmarkStart w:name="_Toc103411598" w:id="87"/>
    </w:p>
    <w:p w:rsidR="00261652" w:rsidP="00261652" w:rsidRDefault="00C43FAC" w14:paraId="12268AD2" w14:textId="77777777">
      <w:pPr>
        <w:pStyle w:val="Heading4"/>
      </w:pPr>
      <w:bookmarkStart w:name="_Toc103417397" w:id="88"/>
      <w:r w:rsidRPr="00261652">
        <w:t>3.4.</w:t>
      </w:r>
      <w:r w:rsidRPr="00261652" w:rsidR="00F11D0C">
        <w:t>2</w:t>
      </w:r>
      <w:r w:rsidRPr="00261652">
        <w:t xml:space="preserve"> Essential Elements of Information</w:t>
      </w:r>
      <w:bookmarkEnd w:id="87"/>
      <w:bookmarkEnd w:id="88"/>
    </w:p>
    <w:p w:rsidRPr="00655D47" w:rsidR="00163EEB" w:rsidP="000533C4" w:rsidRDefault="00FD6A71" w14:paraId="2EFB828A" w14:textId="6FA7C467">
      <w:pPr>
        <w:pStyle w:val="Heading5"/>
      </w:pPr>
      <w:r w:rsidRPr="00655D47">
        <w:t>3.4.</w:t>
      </w:r>
      <w:r w:rsidRPr="00655D47" w:rsidR="00F11D0C">
        <w:t>2.1</w:t>
      </w:r>
      <w:r w:rsidRPr="00655D47">
        <w:t xml:space="preserve"> Essential Elements of Information Template</w:t>
      </w:r>
      <w:bookmarkStart w:name="_Toc103411599" w:id="89"/>
    </w:p>
    <w:p w:rsidRPr="00261652" w:rsidR="00163EEB" w:rsidP="00261652" w:rsidRDefault="00C43FAC" w14:paraId="72A11BD6" w14:textId="77777777">
      <w:pPr>
        <w:pStyle w:val="Heading3"/>
      </w:pPr>
      <w:bookmarkStart w:name="_Toc103417398" w:id="90"/>
      <w:r w:rsidRPr="00261652">
        <w:t>3.5 Scenario Specific Considerations</w:t>
      </w:r>
      <w:bookmarkStart w:name="_Toc103411600" w:id="91"/>
      <w:bookmarkEnd w:id="89"/>
      <w:bookmarkEnd w:id="90"/>
    </w:p>
    <w:p w:rsidR="00163EEB" w:rsidP="00261652" w:rsidRDefault="00F11D0C" w14:paraId="6DE74775" w14:textId="5107187E">
      <w:pPr>
        <w:pStyle w:val="Heading4"/>
      </w:pPr>
      <w:bookmarkStart w:name="_Toc103417399" w:id="92"/>
      <w:r>
        <w:t>3.5.1 Medical Surge Coordination</w:t>
      </w:r>
      <w:bookmarkEnd w:id="91"/>
      <w:bookmarkEnd w:id="92"/>
    </w:p>
    <w:p w:rsidRPr="009C1AD8" w:rsidR="00163EEB" w:rsidP="000533C4" w:rsidRDefault="00F11D0C" w14:paraId="4BA61F67" w14:textId="77777777">
      <w:pPr>
        <w:pStyle w:val="Heading5"/>
      </w:pPr>
      <w:r w:rsidRPr="009C1AD8">
        <w:t>3.5.1.1 CMHPC Regional Burn Surge Plan</w:t>
      </w:r>
    </w:p>
    <w:p w:rsidRPr="009C1AD8" w:rsidR="00163EEB" w:rsidP="000533C4" w:rsidRDefault="00F11D0C" w14:paraId="1F230044" w14:textId="77777777">
      <w:pPr>
        <w:pStyle w:val="Heading5"/>
      </w:pPr>
      <w:r w:rsidRPr="009C1AD8">
        <w:t>3.5.1.2 CMHPC Regional Pediatric Surge Plan</w:t>
      </w:r>
    </w:p>
    <w:p w:rsidRPr="009C1AD8" w:rsidR="00163EEB" w:rsidP="000533C4" w:rsidRDefault="009B0275" w14:paraId="1557C5C2" w14:textId="77777777">
      <w:pPr>
        <w:pStyle w:val="Heading5"/>
      </w:pPr>
      <w:r w:rsidRPr="009C1AD8">
        <w:t>3.5.1.3 Mass Fatality Planning</w:t>
      </w:r>
    </w:p>
    <w:p w:rsidRPr="009C1AD8" w:rsidR="00163EEB" w:rsidP="000533C4" w:rsidRDefault="009B0275" w14:paraId="06022740" w14:textId="77777777">
      <w:pPr>
        <w:pStyle w:val="Heading5"/>
      </w:pPr>
      <w:r w:rsidRPr="009C1AD8">
        <w:t>3.5.1.4 Crisis Standards of Care</w:t>
      </w:r>
    </w:p>
    <w:p w:rsidRPr="009C1AD8" w:rsidR="00163EEB" w:rsidP="000533C4" w:rsidRDefault="00CC5826" w14:paraId="319977CF" w14:textId="77777777">
      <w:pPr>
        <w:pStyle w:val="Heading5"/>
      </w:pPr>
      <w:r w:rsidRPr="009C1AD8">
        <w:t>3.5.1.5 Regional Infectious Disease Plan</w:t>
      </w:r>
      <w:bookmarkStart w:name="_Toc103411602" w:id="93"/>
    </w:p>
    <w:p w:rsidR="00163EEB" w:rsidP="00261652" w:rsidRDefault="00F11D0C" w14:paraId="1D4544CB" w14:textId="3B37E025">
      <w:pPr>
        <w:pStyle w:val="Heading4"/>
        <w:rPr>
          <w:highlight w:val="yellow"/>
        </w:rPr>
      </w:pPr>
      <w:bookmarkStart w:name="_Toc103417400" w:id="94"/>
      <w:r w:rsidRPr="7F36C951">
        <w:rPr>
          <w:highlight w:val="yellow"/>
        </w:rPr>
        <w:t>3.5.</w:t>
      </w:r>
      <w:r w:rsidR="00B27EC9">
        <w:rPr>
          <w:highlight w:val="yellow"/>
        </w:rPr>
        <w:t>2</w:t>
      </w:r>
      <w:r w:rsidRPr="7F36C951">
        <w:rPr>
          <w:highlight w:val="yellow"/>
        </w:rPr>
        <w:t xml:space="preserve"> Public Information </w:t>
      </w:r>
      <w:r w:rsidR="00163EEB">
        <w:rPr>
          <w:highlight w:val="yellow"/>
        </w:rPr>
        <w:t>–</w:t>
      </w:r>
      <w:r w:rsidRPr="7F36C951" w:rsidR="001E62FA">
        <w:rPr>
          <w:highlight w:val="yellow"/>
        </w:rPr>
        <w:t xml:space="preserve"> </w:t>
      </w:r>
      <w:r w:rsidRPr="7F36C951">
        <w:rPr>
          <w:highlight w:val="yellow"/>
        </w:rPr>
        <w:t>Pending</w:t>
      </w:r>
      <w:bookmarkStart w:name="_Toc103411603" w:id="95"/>
      <w:bookmarkEnd w:id="93"/>
      <w:bookmarkEnd w:id="94"/>
    </w:p>
    <w:p w:rsidR="00163EEB" w:rsidP="00261652" w:rsidRDefault="00C43FAC" w14:paraId="587DB775" w14:textId="4CB5BCAC">
      <w:pPr>
        <w:pStyle w:val="Heading4"/>
      </w:pPr>
      <w:bookmarkStart w:name="_Toc103417401" w:id="96"/>
      <w:r w:rsidRPr="7F36C951">
        <w:rPr>
          <w:highlight w:val="yellow"/>
        </w:rPr>
        <w:t>3.5.</w:t>
      </w:r>
      <w:r w:rsidR="00B27EC9">
        <w:rPr>
          <w:highlight w:val="yellow"/>
        </w:rPr>
        <w:t>3</w:t>
      </w:r>
      <w:r w:rsidRPr="7F36C951">
        <w:rPr>
          <w:highlight w:val="yellow"/>
        </w:rPr>
        <w:t xml:space="preserve"> Disaster Behavioral Health</w:t>
      </w:r>
      <w:r w:rsidRPr="7F36C951" w:rsidR="004B6F29">
        <w:rPr>
          <w:highlight w:val="yellow"/>
        </w:rPr>
        <w:t xml:space="preserve"> </w:t>
      </w:r>
      <w:r w:rsidR="00163EEB">
        <w:rPr>
          <w:highlight w:val="yellow"/>
        </w:rPr>
        <w:t>–</w:t>
      </w:r>
      <w:r w:rsidRPr="7F36C951" w:rsidR="004B6F29">
        <w:rPr>
          <w:highlight w:val="yellow"/>
        </w:rPr>
        <w:t xml:space="preserve"> Pending</w:t>
      </w:r>
      <w:bookmarkStart w:name="_Toc103411604" w:id="97"/>
      <w:bookmarkEnd w:id="95"/>
      <w:bookmarkEnd w:id="96"/>
    </w:p>
    <w:p w:rsidR="00163EEB" w:rsidP="00261652" w:rsidRDefault="00C43FAC" w14:paraId="21554765" w14:textId="6641E1AF">
      <w:pPr>
        <w:pStyle w:val="Heading4"/>
      </w:pPr>
      <w:bookmarkStart w:name="_Toc103417402" w:id="98"/>
      <w:r>
        <w:t>3.5.</w:t>
      </w:r>
      <w:r w:rsidR="00B27EC9">
        <w:t>4</w:t>
      </w:r>
      <w:r>
        <w:t xml:space="preserve"> Coalition Communications Plan</w:t>
      </w:r>
      <w:bookmarkEnd w:id="97"/>
      <w:bookmarkEnd w:id="98"/>
    </w:p>
    <w:p w:rsidRPr="004F454D" w:rsidR="00163EEB" w:rsidP="000533C4" w:rsidRDefault="004D7D14" w14:paraId="3ADC7152" w14:textId="77777777">
      <w:pPr>
        <w:pStyle w:val="Heading5"/>
        <w:rPr>
          <w:rStyle w:val="IntenseEmphasis"/>
        </w:rPr>
      </w:pPr>
      <w:r w:rsidRPr="004F454D">
        <w:rPr>
          <w:rStyle w:val="IntenseEmphasis"/>
        </w:rPr>
        <w:t>3.5.</w:t>
      </w:r>
      <w:r w:rsidRPr="004F454D" w:rsidR="00B27EC9">
        <w:rPr>
          <w:rStyle w:val="IntenseEmphasis"/>
        </w:rPr>
        <w:t>4</w:t>
      </w:r>
      <w:r w:rsidRPr="004F454D">
        <w:rPr>
          <w:rStyle w:val="IntenseEmphasis"/>
        </w:rPr>
        <w:t xml:space="preserve">.1 </w:t>
      </w:r>
      <w:r w:rsidRPr="004F454D" w:rsidR="002F064B">
        <w:rPr>
          <w:rStyle w:val="IntenseEmphasis"/>
        </w:rPr>
        <w:t>Inter-regional Communications Guideline</w:t>
      </w:r>
      <w:bookmarkStart w:name="_Toc103411605" w:id="99"/>
    </w:p>
    <w:p w:rsidR="00163EEB" w:rsidP="00261652" w:rsidRDefault="00C940DB" w14:paraId="2AAD2898" w14:textId="77777777">
      <w:pPr>
        <w:pStyle w:val="Heading4"/>
      </w:pPr>
      <w:bookmarkStart w:name="_Toc103417403" w:id="100"/>
      <w:r>
        <w:t>3.5.</w:t>
      </w:r>
      <w:r w:rsidR="00B27EC9">
        <w:t>5</w:t>
      </w:r>
      <w:r>
        <w:t xml:space="preserve"> Regional Resource Allocation Plan</w:t>
      </w:r>
      <w:bookmarkEnd w:id="99"/>
      <w:bookmarkEnd w:id="100"/>
    </w:p>
    <w:p w:rsidRPr="004F454D" w:rsidR="00163EEB" w:rsidP="000533C4" w:rsidRDefault="00C940DB" w14:paraId="027BC310" w14:textId="77777777">
      <w:pPr>
        <w:pStyle w:val="Heading5"/>
        <w:rPr>
          <w:rStyle w:val="IntenseEmphasis"/>
        </w:rPr>
      </w:pPr>
      <w:r w:rsidRPr="004F454D">
        <w:rPr>
          <w:rStyle w:val="IntenseEmphasis"/>
        </w:rPr>
        <w:t>3.5.</w:t>
      </w:r>
      <w:r w:rsidRPr="004F454D" w:rsidR="00B27EC9">
        <w:rPr>
          <w:rStyle w:val="IntenseEmphasis"/>
        </w:rPr>
        <w:t>5</w:t>
      </w:r>
      <w:r w:rsidRPr="004F454D">
        <w:rPr>
          <w:rStyle w:val="IntenseEmphasis"/>
        </w:rPr>
        <w:t>.1 Regional Cache documentation</w:t>
      </w:r>
    </w:p>
    <w:p w:rsidRPr="004F454D" w:rsidR="00163EEB" w:rsidP="000533C4" w:rsidRDefault="00F11D0C" w14:paraId="48777FD0" w14:textId="77777777">
      <w:pPr>
        <w:pStyle w:val="Heading5"/>
        <w:rPr>
          <w:rStyle w:val="IntenseEmphasis"/>
        </w:rPr>
      </w:pPr>
      <w:r w:rsidRPr="004F454D">
        <w:rPr>
          <w:rStyle w:val="IntenseEmphasis"/>
        </w:rPr>
        <w:t>3.5.</w:t>
      </w:r>
      <w:r w:rsidRPr="004F454D" w:rsidR="00B27EC9">
        <w:rPr>
          <w:rStyle w:val="IntenseEmphasis"/>
        </w:rPr>
        <w:t>5</w:t>
      </w:r>
      <w:r w:rsidRPr="004F454D">
        <w:rPr>
          <w:rStyle w:val="IntenseEmphasis"/>
        </w:rPr>
        <w:t>.2 Resource Request</w:t>
      </w:r>
      <w:bookmarkStart w:name="_Toc103411606" w:id="101"/>
    </w:p>
    <w:p w:rsidR="00163EEB" w:rsidP="00261652" w:rsidRDefault="00C940DB" w14:paraId="1B1ABCFB" w14:textId="77777777">
      <w:pPr>
        <w:pStyle w:val="Heading4"/>
      </w:pPr>
      <w:bookmarkStart w:name="_Toc103417404" w:id="102"/>
      <w:r>
        <w:lastRenderedPageBreak/>
        <w:t>3.5.</w:t>
      </w:r>
      <w:r w:rsidR="00B27EC9">
        <w:t>6</w:t>
      </w:r>
      <w:r>
        <w:t xml:space="preserve"> Handling of Solid Waste Contaminated with a Category ‘A’ Infectious Waste</w:t>
      </w:r>
      <w:bookmarkStart w:name="_Toc103411607" w:id="103"/>
      <w:bookmarkEnd w:id="101"/>
      <w:bookmarkEnd w:id="102"/>
    </w:p>
    <w:p w:rsidRPr="00C03BBE" w:rsidR="00C940DB" w:rsidP="00261652" w:rsidRDefault="00C940DB" w14:paraId="3704ACEE" w14:textId="450D7131">
      <w:pPr>
        <w:pStyle w:val="Heading4"/>
      </w:pPr>
      <w:bookmarkStart w:name="_Toc103417405" w:id="104"/>
      <w:r>
        <w:t>3.5.</w:t>
      </w:r>
      <w:r w:rsidR="00B27EC9">
        <w:t>7</w:t>
      </w:r>
      <w:r>
        <w:t xml:space="preserve"> MN Responds Volunteer Workforce Plan</w:t>
      </w:r>
      <w:bookmarkEnd w:id="103"/>
      <w:bookmarkEnd w:id="104"/>
    </w:p>
    <w:p w:rsidR="00F51F8A" w:rsidP="00F51F8A" w:rsidRDefault="00C940DB" w14:paraId="6723C7F1" w14:textId="77777777">
      <w:pPr>
        <w:pStyle w:val="Heading1"/>
      </w:pPr>
      <w:bookmarkStart w:name="_Toc103411608" w:id="105"/>
      <w:bookmarkStart w:name="_Toc103417406" w:id="106"/>
      <w:r>
        <w:t>A</w:t>
      </w:r>
      <w:r w:rsidR="00F51F8A">
        <w:t>pprovals and Revisions</w:t>
      </w:r>
      <w:bookmarkEnd w:id="105"/>
      <w:bookmarkEnd w:id="106"/>
    </w:p>
    <w:p w:rsidRPr="008456E3" w:rsidR="008456E3" w:rsidP="008456E3" w:rsidRDefault="008456E3" w14:paraId="62BA4FBA" w14:textId="1687F30E">
      <w:pPr>
        <w:ind w:left="0"/>
      </w:pPr>
      <w:r w:rsidR="041EDB31">
        <w:rPr/>
        <w:t xml:space="preserve">This plan is reviewed annually and </w:t>
      </w:r>
      <w:r w:rsidR="041EDB31">
        <w:rPr/>
        <w:t>updated,</w:t>
      </w:r>
      <w:r w:rsidR="041EDB31">
        <w:rPr/>
        <w:t xml:space="preserve"> as necessary</w:t>
      </w:r>
      <w:r w:rsidR="041EDB31">
        <w:rPr/>
        <w:t xml:space="preserve">. </w:t>
      </w:r>
      <w:r w:rsidR="041EDB31">
        <w:rPr/>
        <w:t>All changes will be voted upon by the Advisory Committee</w:t>
      </w:r>
      <w:r w:rsidR="041EDB31">
        <w:rPr/>
        <w:t xml:space="preserve">. </w:t>
      </w:r>
      <w:r w:rsidR="041EDB31">
        <w:rPr/>
        <w:t xml:space="preserve">Any </w:t>
      </w:r>
      <w:r w:rsidR="7D03C0B8">
        <w:rPr/>
        <w:t>revisions will be noted within this table.</w:t>
      </w:r>
    </w:p>
    <w:tbl>
      <w:tblPr>
        <w:tblStyle w:val="TableGrid"/>
        <w:tblW w:w="9445" w:type="dxa"/>
        <w:tblLook w:val="04A0" w:firstRow="1" w:lastRow="0" w:firstColumn="1" w:lastColumn="0" w:noHBand="0" w:noVBand="1"/>
      </w:tblPr>
      <w:tblGrid>
        <w:gridCol w:w="6385"/>
        <w:gridCol w:w="3060"/>
      </w:tblGrid>
      <w:tr w:rsidR="00F51F8A" w:rsidTr="4162B6B1" w14:paraId="7B2A6BA4" w14:textId="77777777">
        <w:trPr>
          <w:trHeight w:val="635"/>
        </w:trPr>
        <w:tc>
          <w:tcPr>
            <w:tcW w:w="6385" w:type="dxa"/>
            <w:tcMar/>
          </w:tcPr>
          <w:p w:rsidRPr="00FD5A74" w:rsidR="00F51F8A" w:rsidP="4162B6B1" w:rsidRDefault="00F51F8A" w14:paraId="209170FB" w14:textId="77777777" w14:noSpellErr="1">
            <w:pPr>
              <w:ind w:left="288"/>
              <w:jc w:val="left"/>
              <w:rPr>
                <w:b w:val="1"/>
                <w:bCs w:val="1"/>
              </w:rPr>
            </w:pPr>
            <w:r w:rsidRPr="4162B6B1" w:rsidR="5D6F0FD9">
              <w:rPr>
                <w:b w:val="1"/>
                <w:bCs w:val="1"/>
              </w:rPr>
              <w:t>Purpose</w:t>
            </w:r>
            <w:r w:rsidRPr="4162B6B1" w:rsidR="5D6F0FD9">
              <w:rPr>
                <w:b w:val="1"/>
                <w:bCs w:val="1"/>
              </w:rPr>
              <w:t>/Changes</w:t>
            </w:r>
          </w:p>
        </w:tc>
        <w:tc>
          <w:tcPr>
            <w:tcW w:w="3060" w:type="dxa"/>
            <w:tcMar/>
          </w:tcPr>
          <w:p w:rsidRPr="00FD5A74" w:rsidR="00F51F8A" w:rsidP="4162B6B1" w:rsidRDefault="00F51F8A" w14:paraId="06A821EE" w14:textId="77777777" w14:noSpellErr="1">
            <w:pPr>
              <w:ind w:left="288"/>
              <w:jc w:val="left"/>
              <w:rPr>
                <w:b w:val="1"/>
                <w:bCs w:val="1"/>
              </w:rPr>
            </w:pPr>
            <w:r w:rsidRPr="4162B6B1" w:rsidR="5D6F0FD9">
              <w:rPr>
                <w:b w:val="1"/>
                <w:bCs w:val="1"/>
              </w:rPr>
              <w:t>Date</w:t>
            </w:r>
          </w:p>
        </w:tc>
      </w:tr>
      <w:tr w:rsidR="00F51F8A" w:rsidTr="4162B6B1" w14:paraId="68593F60" w14:textId="77777777">
        <w:trPr>
          <w:trHeight w:val="406"/>
        </w:trPr>
        <w:tc>
          <w:tcPr>
            <w:tcW w:w="6385" w:type="dxa"/>
            <w:tcMar/>
          </w:tcPr>
          <w:p w:rsidR="00F51F8A" w:rsidP="4162B6B1" w:rsidRDefault="00F51F8A" w14:paraId="25707E06" w14:textId="77777777" w14:noSpellErr="1">
            <w:pPr>
              <w:ind w:left="288"/>
              <w:jc w:val="left"/>
            </w:pPr>
            <w:r w:rsidR="5D6F0FD9">
              <w:rPr/>
              <w:t xml:space="preserve">Created Response plan </w:t>
            </w:r>
          </w:p>
        </w:tc>
        <w:tc>
          <w:tcPr>
            <w:tcW w:w="3060" w:type="dxa"/>
            <w:tcMar/>
          </w:tcPr>
          <w:p w:rsidR="00F51F8A" w:rsidP="4162B6B1" w:rsidRDefault="0040336A" w14:paraId="679F6101" w14:textId="77777777" w14:noSpellErr="1">
            <w:pPr>
              <w:ind w:left="288"/>
              <w:jc w:val="left"/>
            </w:pPr>
            <w:r w:rsidR="6C4FB7D3">
              <w:rPr/>
              <w:t>May</w:t>
            </w:r>
            <w:r w:rsidR="5D6F0FD9">
              <w:rPr/>
              <w:t xml:space="preserve"> 2018</w:t>
            </w:r>
          </w:p>
        </w:tc>
      </w:tr>
      <w:tr w:rsidR="00F51F8A" w:rsidTr="4162B6B1" w14:paraId="593D237F" w14:textId="77777777">
        <w:trPr>
          <w:trHeight w:val="406"/>
        </w:trPr>
        <w:tc>
          <w:tcPr>
            <w:tcW w:w="6385" w:type="dxa"/>
            <w:tcMar/>
          </w:tcPr>
          <w:p w:rsidR="00F51F8A" w:rsidP="4162B6B1" w:rsidRDefault="00C940DB" w14:paraId="42E121D0" w14:textId="77777777" w14:noSpellErr="1">
            <w:pPr>
              <w:ind w:left="288"/>
              <w:jc w:val="left"/>
            </w:pPr>
            <w:r w:rsidR="001FBB79">
              <w:rPr/>
              <w:t>Updated to include Patient Tracking</w:t>
            </w:r>
          </w:p>
        </w:tc>
        <w:tc>
          <w:tcPr>
            <w:tcW w:w="3060" w:type="dxa"/>
            <w:tcMar/>
          </w:tcPr>
          <w:p w:rsidR="00F51F8A" w:rsidP="4162B6B1" w:rsidRDefault="00C940DB" w14:paraId="51DAFD88" w14:textId="77777777" w14:noSpellErr="1">
            <w:pPr>
              <w:ind w:left="288"/>
              <w:jc w:val="left"/>
            </w:pPr>
            <w:r w:rsidR="001FBB79">
              <w:rPr/>
              <w:t>June 2019</w:t>
            </w:r>
          </w:p>
        </w:tc>
      </w:tr>
      <w:tr w:rsidR="00F51F8A" w:rsidTr="4162B6B1" w14:paraId="0BA206CE" w14:textId="77777777">
        <w:trPr>
          <w:trHeight w:val="406"/>
        </w:trPr>
        <w:tc>
          <w:tcPr>
            <w:tcW w:w="6385" w:type="dxa"/>
            <w:tcMar/>
          </w:tcPr>
          <w:p w:rsidR="00F51F8A" w:rsidP="4162B6B1" w:rsidRDefault="00DB1832" w14:paraId="198797DB" w14:textId="138272AE" w14:noSpellErr="1">
            <w:pPr>
              <w:ind w:left="288"/>
              <w:jc w:val="left"/>
            </w:pPr>
            <w:r w:rsidR="11B5213D">
              <w:rPr/>
              <w:t>Updated to include SHCC/restructured flow/appendixes to improve flow</w:t>
            </w:r>
          </w:p>
        </w:tc>
        <w:tc>
          <w:tcPr>
            <w:tcW w:w="3060" w:type="dxa"/>
            <w:tcMar/>
          </w:tcPr>
          <w:p w:rsidR="00F51F8A" w:rsidP="4162B6B1" w:rsidRDefault="00DB1832" w14:paraId="01D96270" w14:textId="309277D6" w14:noSpellErr="1">
            <w:pPr>
              <w:ind w:left="288"/>
              <w:jc w:val="left"/>
            </w:pPr>
            <w:r w:rsidR="11B5213D">
              <w:rPr/>
              <w:t>June 2020</w:t>
            </w:r>
          </w:p>
        </w:tc>
      </w:tr>
      <w:tr w:rsidR="00F51F8A" w:rsidTr="4162B6B1" w14:paraId="4D9C5D23" w14:textId="77777777">
        <w:trPr>
          <w:trHeight w:val="406"/>
        </w:trPr>
        <w:tc>
          <w:tcPr>
            <w:tcW w:w="6385" w:type="dxa"/>
            <w:tcMar/>
          </w:tcPr>
          <w:p w:rsidR="00F51F8A" w:rsidP="4162B6B1" w:rsidRDefault="001E62FA" w14:paraId="61EBD571" w14:textId="32BEA78D" w14:noSpellErr="1">
            <w:pPr>
              <w:ind w:left="288"/>
              <w:jc w:val="left"/>
            </w:pPr>
            <w:r w:rsidR="40BD0749">
              <w:rPr/>
              <w:t>Updated to include information related to COVID response and incorporate lessons learned into the plan.</w:t>
            </w:r>
          </w:p>
        </w:tc>
        <w:tc>
          <w:tcPr>
            <w:tcW w:w="3060" w:type="dxa"/>
            <w:tcMar/>
          </w:tcPr>
          <w:p w:rsidR="00F51F8A" w:rsidP="4162B6B1" w:rsidRDefault="001E62FA" w14:paraId="2F684142" w14:textId="06308E9A" w14:noSpellErr="1">
            <w:pPr>
              <w:ind w:left="288"/>
              <w:jc w:val="left"/>
            </w:pPr>
            <w:r w:rsidR="40BD0749">
              <w:rPr/>
              <w:t>August 2021</w:t>
            </w:r>
          </w:p>
        </w:tc>
      </w:tr>
      <w:tr w:rsidR="00F51F8A" w:rsidTr="4162B6B1" w14:paraId="0DAEFFF9" w14:textId="77777777">
        <w:trPr>
          <w:trHeight w:val="406"/>
        </w:trPr>
        <w:tc>
          <w:tcPr>
            <w:tcW w:w="6385" w:type="dxa"/>
            <w:tcMar/>
          </w:tcPr>
          <w:p w:rsidR="00F51F8A" w:rsidP="4162B6B1" w:rsidRDefault="00B27EC9" w14:paraId="02ADF198" w14:textId="1BA2A55F" w14:noSpellErr="1">
            <w:pPr>
              <w:ind w:left="288"/>
              <w:jc w:val="left"/>
            </w:pPr>
            <w:r w:rsidR="29817F35">
              <w:rPr/>
              <w:t>Updated to align with ASPR Response Plan template</w:t>
            </w:r>
          </w:p>
        </w:tc>
        <w:tc>
          <w:tcPr>
            <w:tcW w:w="3060" w:type="dxa"/>
            <w:tcMar/>
          </w:tcPr>
          <w:p w:rsidR="00F51F8A" w:rsidP="4162B6B1" w:rsidRDefault="00B27EC9" w14:paraId="6619FA94" w14:textId="3A18253F" w14:noSpellErr="1">
            <w:pPr>
              <w:ind w:left="288"/>
              <w:jc w:val="left"/>
            </w:pPr>
            <w:r w:rsidR="29817F35">
              <w:rPr/>
              <w:t>May 2022</w:t>
            </w:r>
          </w:p>
        </w:tc>
      </w:tr>
      <w:tr w:rsidR="00F51F8A" w:rsidTr="4162B6B1" w14:paraId="2A6AF7E1" w14:textId="77777777">
        <w:trPr>
          <w:trHeight w:val="406"/>
        </w:trPr>
        <w:tc>
          <w:tcPr>
            <w:tcW w:w="6385" w:type="dxa"/>
            <w:tcMar/>
          </w:tcPr>
          <w:p w:rsidR="00F51F8A" w:rsidP="000E511F" w:rsidRDefault="00F51F8A" w14:paraId="0D9EB5C6" w14:textId="77777777"/>
        </w:tc>
        <w:tc>
          <w:tcPr>
            <w:tcW w:w="3060" w:type="dxa"/>
            <w:tcMar/>
          </w:tcPr>
          <w:p w:rsidR="00F51F8A" w:rsidP="000E511F" w:rsidRDefault="00F51F8A" w14:paraId="1CB016E4" w14:textId="77777777"/>
        </w:tc>
      </w:tr>
    </w:tbl>
    <w:p w:rsidRPr="00592096" w:rsidR="00592096" w:rsidP="00592096" w:rsidRDefault="00592096" w14:paraId="4EF6E40C" w14:textId="77777777">
      <w:pPr>
        <w:pStyle w:val="Heading2"/>
      </w:pPr>
    </w:p>
    <w:p w:rsidRPr="004A59F1" w:rsidR="004A59F1" w:rsidP="00520B42" w:rsidRDefault="00706EA9" w14:paraId="70978E80" w14:textId="77777777">
      <w:pPr>
        <w:pStyle w:val="Heading2"/>
      </w:pPr>
      <w:r>
        <w:tab/>
      </w:r>
      <w:r w:rsidR="004A59F1">
        <w:tab/>
      </w:r>
    </w:p>
    <w:sectPr w:rsidRPr="004A59F1" w:rsidR="004A59F1" w:rsidSect="00F95BE5">
      <w:footerReference w:type="default" r:id="rId25"/>
      <w:pgSz w:w="12240" w:h="15840" w:orient="portrait"/>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BCE" w:rsidP="00C42FE5" w:rsidRDefault="00B01BCE" w14:paraId="5CD34FFF" w14:textId="77777777">
      <w:pPr>
        <w:spacing w:before="0" w:line="240" w:lineRule="auto"/>
      </w:pPr>
      <w:r>
        <w:separator/>
      </w:r>
    </w:p>
  </w:endnote>
  <w:endnote w:type="continuationSeparator" w:id="0">
    <w:p w:rsidR="00B01BCE" w:rsidP="00C42FE5" w:rsidRDefault="00B01BCE" w14:paraId="6672E38A"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FD2" w:rsidRDefault="00173FD2" w14:paraId="68950E15" w14:textId="77777777">
    <w:pPr>
      <w:tabs>
        <w:tab w:val="center" w:pos="4550"/>
        <w:tab w:val="left" w:pos="5818"/>
      </w:tabs>
      <w:ind w:right="260"/>
      <w:jc w:val="right"/>
      <w:rPr>
        <w:color w:val="121428" w:themeColor="text2" w:themeShade="80"/>
        <w:szCs w:val="24"/>
      </w:rPr>
    </w:pPr>
    <w:r>
      <w:rPr>
        <w:color w:val="5B63B7" w:themeColor="text2" w:themeTint="99"/>
        <w:spacing w:val="60"/>
        <w:szCs w:val="24"/>
      </w:rPr>
      <w:t>Page</w:t>
    </w:r>
    <w:r>
      <w:rPr>
        <w:color w:val="5B63B7" w:themeColor="text2" w:themeTint="99"/>
        <w:szCs w:val="24"/>
      </w:rPr>
      <w:t xml:space="preserve"> </w:t>
    </w:r>
    <w:r>
      <w:rPr>
        <w:color w:val="1B1D3D" w:themeColor="text2" w:themeShade="BF"/>
        <w:szCs w:val="24"/>
      </w:rPr>
      <w:fldChar w:fldCharType="begin"/>
    </w:r>
    <w:r>
      <w:rPr>
        <w:color w:val="1B1D3D" w:themeColor="text2" w:themeShade="BF"/>
        <w:szCs w:val="24"/>
      </w:rPr>
      <w:instrText xml:space="preserve"> PAGE   \* MERGEFORMAT </w:instrText>
    </w:r>
    <w:r>
      <w:rPr>
        <w:color w:val="1B1D3D" w:themeColor="text2" w:themeShade="BF"/>
        <w:szCs w:val="24"/>
      </w:rPr>
      <w:fldChar w:fldCharType="separate"/>
    </w:r>
    <w:r>
      <w:rPr>
        <w:noProof/>
        <w:color w:val="1B1D3D" w:themeColor="text2" w:themeShade="BF"/>
        <w:szCs w:val="24"/>
      </w:rPr>
      <w:t>1</w:t>
    </w:r>
    <w:r>
      <w:rPr>
        <w:color w:val="1B1D3D" w:themeColor="text2" w:themeShade="BF"/>
        <w:szCs w:val="24"/>
      </w:rPr>
      <w:fldChar w:fldCharType="end"/>
    </w:r>
    <w:r>
      <w:rPr>
        <w:color w:val="1B1D3D" w:themeColor="text2" w:themeShade="BF"/>
        <w:szCs w:val="24"/>
      </w:rPr>
      <w:t xml:space="preserve"> | </w:t>
    </w:r>
    <w:r>
      <w:rPr>
        <w:color w:val="1B1D3D" w:themeColor="text2" w:themeShade="BF"/>
        <w:szCs w:val="24"/>
      </w:rPr>
      <w:fldChar w:fldCharType="begin"/>
    </w:r>
    <w:r>
      <w:rPr>
        <w:color w:val="1B1D3D" w:themeColor="text2" w:themeShade="BF"/>
        <w:szCs w:val="24"/>
      </w:rPr>
      <w:instrText xml:space="preserve"> NUMPAGES  \* Arabic  \* MERGEFORMAT </w:instrText>
    </w:r>
    <w:r>
      <w:rPr>
        <w:color w:val="1B1D3D" w:themeColor="text2" w:themeShade="BF"/>
        <w:szCs w:val="24"/>
      </w:rPr>
      <w:fldChar w:fldCharType="separate"/>
    </w:r>
    <w:r>
      <w:rPr>
        <w:noProof/>
        <w:color w:val="1B1D3D" w:themeColor="text2" w:themeShade="BF"/>
        <w:szCs w:val="24"/>
      </w:rPr>
      <w:t>1</w:t>
    </w:r>
    <w:r>
      <w:rPr>
        <w:color w:val="1B1D3D" w:themeColor="text2" w:themeShade="B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BCE" w:rsidP="00C42FE5" w:rsidRDefault="00B01BCE" w14:paraId="72932DB0" w14:textId="77777777">
      <w:pPr>
        <w:spacing w:before="0" w:line="240" w:lineRule="auto"/>
      </w:pPr>
      <w:r>
        <w:separator/>
      </w:r>
    </w:p>
  </w:footnote>
  <w:footnote w:type="continuationSeparator" w:id="0">
    <w:p w:rsidR="00B01BCE" w:rsidP="00C42FE5" w:rsidRDefault="00B01BCE" w14:paraId="01C6477D" w14:textId="77777777">
      <w:pPr>
        <w:spacing w:before="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617963532" textId="361005036" start="79" length="10" invalidationStart="79" invalidationLength="10" id="tYLaNJpW"/>
    <int:WordHash hashCode="FiNCzSReCiV7Qq" id="RewyXla3"/>
    <int:WordHash hashCode="n1zpc3OH2+bxP+" id="b4Woc2s1"/>
  </int:Manifest>
  <int:Observations>
    <int:Content id="tYLaNJpW">
      <int:Rejection type="LegacyProofing"/>
    </int:Content>
    <int:Content id="RewyXla3">
      <int:Rejection type="AugLoop_Text_Critique"/>
    </int:Content>
    <int:Content id="b4Woc2s1">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46"/>
    <w:multiLevelType w:val="multilevel"/>
    <w:tmpl w:val="386844A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lowerLetter"/>
      <w:lvlText w:val="%3."/>
      <w:lvlJc w:val="left"/>
      <w:pPr>
        <w:ind w:left="2160" w:hanging="54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23F68C9"/>
    <w:multiLevelType w:val="hybridMultilevel"/>
    <w:tmpl w:val="7DA463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8245C2"/>
    <w:multiLevelType w:val="hybridMultilevel"/>
    <w:tmpl w:val="E1BA2BB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7EF7955"/>
    <w:multiLevelType w:val="multilevel"/>
    <w:tmpl w:val="2E62E814"/>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hint="default" w:ascii="Symbol" w:hAnsi="Symbol"/>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1B574C"/>
    <w:multiLevelType w:val="hybridMultilevel"/>
    <w:tmpl w:val="882A3A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3E0181"/>
    <w:multiLevelType w:val="multilevel"/>
    <w:tmpl w:val="606204AA"/>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hint="default" w:ascii="Symbol" w:hAnsi="Symbol"/>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5547204"/>
    <w:multiLevelType w:val="hybridMultilevel"/>
    <w:tmpl w:val="91F02D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2922C3"/>
    <w:multiLevelType w:val="hybridMultilevel"/>
    <w:tmpl w:val="A678F9B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98517E"/>
    <w:multiLevelType w:val="hybridMultilevel"/>
    <w:tmpl w:val="7AE89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12E5F"/>
    <w:multiLevelType w:val="hybridMultilevel"/>
    <w:tmpl w:val="7CCE75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C715DC5"/>
    <w:multiLevelType w:val="hybridMultilevel"/>
    <w:tmpl w:val="50BE06A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21B55064"/>
    <w:multiLevelType w:val="hybridMultilevel"/>
    <w:tmpl w:val="59EAEF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2F83470"/>
    <w:multiLevelType w:val="hybridMultilevel"/>
    <w:tmpl w:val="281642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5281D47"/>
    <w:multiLevelType w:val="multilevel"/>
    <w:tmpl w:val="C1F8D2F8"/>
    <w:lvl w:ilvl="0">
      <w:start w:val="1"/>
      <w:numFmt w:val="bullet"/>
      <w:lvlText w:val=""/>
      <w:lvlJc w:val="left"/>
      <w:pPr>
        <w:ind w:left="576" w:hanging="576"/>
      </w:pPr>
      <w:rPr>
        <w:rFonts w:hint="default" w:ascii="Symbol" w:hAnsi="Symbol"/>
      </w:rPr>
    </w:lvl>
    <w:lvl w:ilvl="1">
      <w:start w:val="1"/>
      <w:numFmt w:val="bullet"/>
      <w:lvlText w:val=""/>
      <w:lvlJc w:val="left"/>
      <w:pPr>
        <w:ind w:left="1080" w:hanging="360"/>
      </w:pPr>
      <w:rPr>
        <w:rFonts w:hint="default" w:ascii="Symbol" w:hAnsi="Symbol"/>
        <w:b w:val="0"/>
      </w:rPr>
    </w:lvl>
    <w:lvl w:ilvl="2">
      <w:start w:val="1"/>
      <w:numFmt w:val="bullet"/>
      <w:lvlText w:val=""/>
      <w:lvlJc w:val="left"/>
      <w:pPr>
        <w:ind w:left="2160" w:hanging="540"/>
      </w:pPr>
      <w:rPr>
        <w:rFonts w:hint="default" w:ascii="Symbol" w:hAnsi="Symbol"/>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8532B6C"/>
    <w:multiLevelType w:val="hybridMultilevel"/>
    <w:tmpl w:val="394C6B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6706B5"/>
    <w:multiLevelType w:val="hybridMultilevel"/>
    <w:tmpl w:val="EC029A2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31442980"/>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44A3869"/>
    <w:multiLevelType w:val="multilevel"/>
    <w:tmpl w:val="344A3869"/>
    <w:lvl w:ilvl="0">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8" w15:restartNumberingAfterBreak="0">
    <w:nsid w:val="3A3A77D8"/>
    <w:multiLevelType w:val="multilevel"/>
    <w:tmpl w:val="386844A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lowerLetter"/>
      <w:lvlText w:val="%3."/>
      <w:lvlJc w:val="left"/>
      <w:pPr>
        <w:ind w:left="2160" w:hanging="54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B3C2D3F"/>
    <w:multiLevelType w:val="hybridMultilevel"/>
    <w:tmpl w:val="F3FEF5C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0" w15:restartNumberingAfterBreak="0">
    <w:nsid w:val="3F1258C6"/>
    <w:multiLevelType w:val="multilevel"/>
    <w:tmpl w:val="606204AA"/>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hint="default" w:ascii="Symbol" w:hAnsi="Symbol"/>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1FA45EF"/>
    <w:multiLevelType w:val="hybridMultilevel"/>
    <w:tmpl w:val="3FC0F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9730828"/>
    <w:multiLevelType w:val="hybridMultilevel"/>
    <w:tmpl w:val="F87EAA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6C0B1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CA475E8"/>
    <w:multiLevelType w:val="multilevel"/>
    <w:tmpl w:val="386844A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lowerLetter"/>
      <w:lvlText w:val="%3."/>
      <w:lvlJc w:val="left"/>
      <w:pPr>
        <w:ind w:left="2160" w:hanging="540"/>
      </w:pPr>
      <w:rPr>
        <w:rFonts w:hint="default"/>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D2D7D71"/>
    <w:multiLevelType w:val="hybridMultilevel"/>
    <w:tmpl w:val="646AB220"/>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6" w15:restartNumberingAfterBreak="0">
    <w:nsid w:val="50081A85"/>
    <w:multiLevelType w:val="hybridMultilevel"/>
    <w:tmpl w:val="50C85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5305603"/>
    <w:multiLevelType w:val="singleLevel"/>
    <w:tmpl w:val="55305603"/>
    <w:lvl w:ilvl="0">
      <w:start w:val="1"/>
      <w:numFmt w:val="bullet"/>
      <w:lvlText w:val=""/>
      <w:lvlJc w:val="left"/>
      <w:pPr>
        <w:tabs>
          <w:tab w:val="left" w:pos="420"/>
        </w:tabs>
        <w:ind w:left="420" w:hanging="420"/>
      </w:pPr>
      <w:rPr>
        <w:rFonts w:hint="default" w:ascii="Wingdings" w:hAnsi="Wingdings"/>
        <w:sz w:val="16"/>
        <w:szCs w:val="16"/>
      </w:rPr>
    </w:lvl>
  </w:abstractNum>
  <w:abstractNum w:abstractNumId="28" w15:restartNumberingAfterBreak="0">
    <w:nsid w:val="5818469E"/>
    <w:multiLevelType w:val="hybridMultilevel"/>
    <w:tmpl w:val="9918C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AC635D6"/>
    <w:multiLevelType w:val="hybridMultilevel"/>
    <w:tmpl w:val="894E0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C3521DE"/>
    <w:multiLevelType w:val="hybridMultilevel"/>
    <w:tmpl w:val="90E885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F1578FC"/>
    <w:multiLevelType w:val="multilevel"/>
    <w:tmpl w:val="606204AA"/>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hint="default" w:ascii="Symbol" w:hAnsi="Symbol"/>
      </w:rPr>
    </w:lvl>
    <w:lvl w:ilvl="3">
      <w:start w:val="1"/>
      <w:numFmt w:val="lowerLetter"/>
      <w:lvlText w:val="%4."/>
      <w:lvlJc w:val="left"/>
      <w:pPr>
        <w:ind w:left="2520" w:hanging="360"/>
      </w:pPr>
      <w:rPr>
        <w:rFonts w:hint="default"/>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27A3A40"/>
    <w:multiLevelType w:val="multilevel"/>
    <w:tmpl w:val="D6180826"/>
    <w:lvl w:ilvl="0">
      <w:start w:val="1"/>
      <w:numFmt w:val="upperRoman"/>
      <w:lvlText w:val="%1."/>
      <w:lvlJc w:val="right"/>
      <w:pPr>
        <w:ind w:left="576" w:hanging="576"/>
      </w:pPr>
      <w:rPr>
        <w:rFonts w:hint="default"/>
      </w:rPr>
    </w:lvl>
    <w:lvl w:ilvl="1">
      <w:start w:val="1"/>
      <w:numFmt w:val="upperLetter"/>
      <w:lvlText w:val="%2."/>
      <w:lvlJc w:val="left"/>
      <w:pPr>
        <w:ind w:left="1080" w:hanging="360"/>
      </w:pPr>
      <w:rPr>
        <w:rFonts w:hint="default"/>
        <w:b w:val="0"/>
      </w:rPr>
    </w:lvl>
    <w:lvl w:ilvl="2">
      <w:start w:val="1"/>
      <w:numFmt w:val="bullet"/>
      <w:lvlText w:val=""/>
      <w:lvlJc w:val="left"/>
      <w:pPr>
        <w:ind w:left="2160" w:hanging="540"/>
      </w:pPr>
      <w:rPr>
        <w:rFonts w:hint="default" w:ascii="Symbol" w:hAnsi="Symbol"/>
      </w:rPr>
    </w:lvl>
    <w:lvl w:ilvl="3">
      <w:start w:val="1"/>
      <w:numFmt w:val="bullet"/>
      <w:lvlText w:val=""/>
      <w:lvlJc w:val="left"/>
      <w:pPr>
        <w:ind w:left="2520" w:hanging="360"/>
      </w:pPr>
      <w:rPr>
        <w:rFonts w:hint="default" w:ascii="Symbol" w:hAnsi="Symbol"/>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3DF1C8B"/>
    <w:multiLevelType w:val="hybridMultilevel"/>
    <w:tmpl w:val="7F4042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642368B0"/>
    <w:multiLevelType w:val="hybridMultilevel"/>
    <w:tmpl w:val="E3861F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7F207A"/>
    <w:multiLevelType w:val="hybridMultilevel"/>
    <w:tmpl w:val="428EBC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0838C4"/>
    <w:multiLevelType w:val="hybridMultilevel"/>
    <w:tmpl w:val="A2DC4310"/>
    <w:lvl w:ilvl="0" w:tplc="38BA8646">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37" w15:restartNumberingAfterBreak="0">
    <w:nsid w:val="66E52966"/>
    <w:multiLevelType w:val="hybridMultilevel"/>
    <w:tmpl w:val="C7DE20A4"/>
    <w:lvl w:ilvl="0" w:tplc="41EA29CC">
      <w:start w:val="1"/>
      <w:numFmt w:val="bullet"/>
      <w:lvlText w:val=""/>
      <w:lvlJc w:val="left"/>
      <w:pPr>
        <w:ind w:left="1080" w:hanging="360"/>
      </w:pPr>
      <w:rPr>
        <w:rFonts w:hint="default" w:ascii="Symbol" w:hAnsi="Symbol"/>
      </w:rPr>
    </w:lvl>
    <w:lvl w:ilvl="1" w:tplc="A894BFBE">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38" w15:restartNumberingAfterBreak="0">
    <w:nsid w:val="671F5C0B"/>
    <w:multiLevelType w:val="hybridMultilevel"/>
    <w:tmpl w:val="A4F03EE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9" w15:restartNumberingAfterBreak="0">
    <w:nsid w:val="675E41B3"/>
    <w:multiLevelType w:val="hybridMultilevel"/>
    <w:tmpl w:val="7D0EFA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8282008"/>
    <w:multiLevelType w:val="hybridMultilevel"/>
    <w:tmpl w:val="F32A4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BE74109"/>
    <w:multiLevelType w:val="hybridMultilevel"/>
    <w:tmpl w:val="4E92AC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6D0A7185"/>
    <w:multiLevelType w:val="hybridMultilevel"/>
    <w:tmpl w:val="B7A00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1F472C6"/>
    <w:multiLevelType w:val="multilevel"/>
    <w:tmpl w:val="C424147C"/>
    <w:lvl w:ilvl="0">
      <w:start w:val="1"/>
      <w:numFmt w:val="upperRoman"/>
      <w:lvlText w:val="%1."/>
      <w:lvlJc w:val="right"/>
      <w:pPr>
        <w:ind w:left="576" w:hanging="576"/>
      </w:pPr>
      <w:rPr>
        <w:rFonts w:hint="default"/>
      </w:rPr>
    </w:lvl>
    <w:lvl w:ilvl="1">
      <w:start w:val="1"/>
      <w:numFmt w:val="lowerRoman"/>
      <w:lvlText w:val="%2."/>
      <w:lvlJc w:val="right"/>
      <w:pPr>
        <w:ind w:left="1080" w:hanging="360"/>
      </w:pPr>
      <w:rPr>
        <w:rFonts w:hint="default"/>
        <w:b w:val="0"/>
      </w:rPr>
    </w:lvl>
    <w:lvl w:ilvl="2">
      <w:start w:val="1"/>
      <w:numFmt w:val="bullet"/>
      <w:lvlText w:val=""/>
      <w:lvlJc w:val="left"/>
      <w:pPr>
        <w:ind w:left="2160" w:hanging="540"/>
      </w:pPr>
      <w:rPr>
        <w:rFonts w:hint="default" w:ascii="Symbol" w:hAnsi="Symbol"/>
      </w:rPr>
    </w:lvl>
    <w:lvl w:ilvl="3">
      <w:start w:val="1"/>
      <w:numFmt w:val="bullet"/>
      <w:lvlText w:val=""/>
      <w:lvlJc w:val="left"/>
      <w:pPr>
        <w:ind w:left="2520" w:hanging="360"/>
      </w:pPr>
      <w:rPr>
        <w:rFonts w:hint="default" w:ascii="Symbol" w:hAnsi="Symbol"/>
      </w:rPr>
    </w:lvl>
    <w:lvl w:ilvl="4">
      <w:start w:val="1"/>
      <w:numFmt w:val="bullet"/>
      <w:lvlText w:val=""/>
      <w:lvlJc w:val="left"/>
      <w:pPr>
        <w:ind w:left="3240" w:hanging="360"/>
      </w:pPr>
      <w:rPr>
        <w:rFonts w:hint="default" w:ascii="Symbol" w:hAnsi="Symbol"/>
      </w:rPr>
    </w:lvl>
    <w:lvl w:ilvl="5">
      <w:start w:val="1"/>
      <w:numFmt w:val="lowerRoman"/>
      <w:lvlText w:val="%6."/>
      <w:lvlJc w:val="right"/>
      <w:pPr>
        <w:ind w:left="3960" w:hanging="180"/>
      </w:pPr>
      <w:rPr>
        <w:rFonts w:hint="default"/>
      </w:rPr>
    </w:lvl>
    <w:lvl w:ilvl="6">
      <w:start w:val="7"/>
      <w:numFmt w:val="upperRoman"/>
      <w:lvlText w:val="%7&gt;"/>
      <w:lvlJc w:val="left"/>
      <w:pPr>
        <w:ind w:left="5040" w:hanging="72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4C029AE"/>
    <w:multiLevelType w:val="hybridMultilevel"/>
    <w:tmpl w:val="5F6A02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5186518"/>
    <w:multiLevelType w:val="multilevel"/>
    <w:tmpl w:val="0F860B6C"/>
    <w:lvl w:ilvl="0">
      <w:start w:val="1"/>
      <w:numFmt w:val="decimal"/>
      <w:lvlText w:val="%1."/>
      <w:lvlJc w:val="left"/>
      <w:pPr>
        <w:ind w:left="360" w:hanging="360"/>
      </w:pPr>
      <w:rPr>
        <w:rFonts w:hint="default"/>
      </w:rPr>
    </w:lvl>
    <w:lvl w:ilvl="1">
      <w:start w:val="3"/>
      <w:numFmt w:val="decimal"/>
      <w:isLgl/>
      <w:lvlText w:val="%1.%2"/>
      <w:lvlJc w:val="left"/>
      <w:pPr>
        <w:ind w:left="1210" w:hanging="730"/>
      </w:pPr>
      <w:rPr>
        <w:rFonts w:hint="default" w:asciiTheme="majorHAnsi" w:hAnsiTheme="majorHAnsi" w:eastAsiaTheme="majorEastAsia" w:cstheme="majorBidi"/>
        <w:b/>
        <w:i/>
        <w:color w:val="990033" w:themeColor="accent2"/>
      </w:rPr>
    </w:lvl>
    <w:lvl w:ilvl="2">
      <w:start w:val="1"/>
      <w:numFmt w:val="decimal"/>
      <w:isLgl/>
      <w:lvlText w:val="%1.%2.%3"/>
      <w:lvlJc w:val="left"/>
      <w:pPr>
        <w:ind w:left="1690" w:hanging="730"/>
      </w:pPr>
      <w:rPr>
        <w:rFonts w:hint="default" w:asciiTheme="majorHAnsi" w:hAnsiTheme="majorHAnsi" w:eastAsiaTheme="majorEastAsia" w:cstheme="majorBidi"/>
        <w:b/>
        <w:i/>
        <w:color w:val="990033" w:themeColor="accent2"/>
      </w:rPr>
    </w:lvl>
    <w:lvl w:ilvl="3">
      <w:start w:val="5"/>
      <w:numFmt w:val="decimal"/>
      <w:isLgl/>
      <w:lvlText w:val="%1.%2.%3.%4"/>
      <w:lvlJc w:val="left"/>
      <w:pPr>
        <w:ind w:left="1900" w:hanging="730"/>
      </w:pPr>
      <w:rPr>
        <w:rFonts w:hint="default" w:asciiTheme="majorHAnsi" w:hAnsiTheme="majorHAnsi" w:eastAsiaTheme="majorEastAsia" w:cstheme="majorBidi"/>
        <w:b w:val="0"/>
        <w:bCs/>
        <w:i/>
        <w:color w:val="990033" w:themeColor="accent2"/>
      </w:rPr>
    </w:lvl>
    <w:lvl w:ilvl="4">
      <w:start w:val="1"/>
      <w:numFmt w:val="decimal"/>
      <w:isLgl/>
      <w:lvlText w:val="%1.%2.%3.%4.%5"/>
      <w:lvlJc w:val="left"/>
      <w:pPr>
        <w:ind w:left="3000" w:hanging="1080"/>
      </w:pPr>
      <w:rPr>
        <w:rFonts w:hint="default" w:asciiTheme="majorHAnsi" w:hAnsiTheme="majorHAnsi" w:eastAsiaTheme="majorEastAsia" w:cstheme="majorBidi"/>
        <w:b/>
        <w:i/>
        <w:color w:val="990033" w:themeColor="accent2"/>
      </w:rPr>
    </w:lvl>
    <w:lvl w:ilvl="5">
      <w:start w:val="1"/>
      <w:numFmt w:val="decimal"/>
      <w:isLgl/>
      <w:lvlText w:val="%1.%2.%3.%4.%5.%6"/>
      <w:lvlJc w:val="left"/>
      <w:pPr>
        <w:ind w:left="3480" w:hanging="1080"/>
      </w:pPr>
      <w:rPr>
        <w:rFonts w:hint="default" w:asciiTheme="majorHAnsi" w:hAnsiTheme="majorHAnsi" w:eastAsiaTheme="majorEastAsia" w:cstheme="majorBidi"/>
        <w:b/>
        <w:i/>
        <w:color w:val="990033" w:themeColor="accent2"/>
      </w:rPr>
    </w:lvl>
    <w:lvl w:ilvl="6">
      <w:start w:val="1"/>
      <w:numFmt w:val="decimal"/>
      <w:isLgl/>
      <w:lvlText w:val="%1.%2.%3.%4.%5.%6.%7"/>
      <w:lvlJc w:val="left"/>
      <w:pPr>
        <w:ind w:left="4320" w:hanging="1440"/>
      </w:pPr>
      <w:rPr>
        <w:rFonts w:hint="default" w:asciiTheme="majorHAnsi" w:hAnsiTheme="majorHAnsi" w:eastAsiaTheme="majorEastAsia" w:cstheme="majorBidi"/>
        <w:b/>
        <w:i/>
        <w:color w:val="990033" w:themeColor="accent2"/>
      </w:rPr>
    </w:lvl>
    <w:lvl w:ilvl="7">
      <w:start w:val="1"/>
      <w:numFmt w:val="decimal"/>
      <w:isLgl/>
      <w:lvlText w:val="%1.%2.%3.%4.%5.%6.%7.%8"/>
      <w:lvlJc w:val="left"/>
      <w:pPr>
        <w:ind w:left="4800" w:hanging="1440"/>
      </w:pPr>
      <w:rPr>
        <w:rFonts w:hint="default" w:asciiTheme="majorHAnsi" w:hAnsiTheme="majorHAnsi" w:eastAsiaTheme="majorEastAsia" w:cstheme="majorBidi"/>
        <w:b/>
        <w:i/>
        <w:color w:val="990033" w:themeColor="accent2"/>
      </w:rPr>
    </w:lvl>
    <w:lvl w:ilvl="8">
      <w:start w:val="1"/>
      <w:numFmt w:val="decimal"/>
      <w:isLgl/>
      <w:lvlText w:val="%1.%2.%3.%4.%5.%6.%7.%8.%9"/>
      <w:lvlJc w:val="left"/>
      <w:pPr>
        <w:ind w:left="5640" w:hanging="1800"/>
      </w:pPr>
      <w:rPr>
        <w:rFonts w:hint="default" w:asciiTheme="majorHAnsi" w:hAnsiTheme="majorHAnsi" w:eastAsiaTheme="majorEastAsia" w:cstheme="majorBidi"/>
        <w:b/>
        <w:i/>
        <w:color w:val="990033" w:themeColor="accent2"/>
      </w:rPr>
    </w:lvl>
  </w:abstractNum>
  <w:abstractNum w:abstractNumId="46" w15:restartNumberingAfterBreak="0">
    <w:nsid w:val="791F647D"/>
    <w:multiLevelType w:val="hybridMultilevel"/>
    <w:tmpl w:val="4BF8EF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B3E57B1"/>
    <w:multiLevelType w:val="hybridMultilevel"/>
    <w:tmpl w:val="3D880D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C517A81"/>
    <w:multiLevelType w:val="hybridMultilevel"/>
    <w:tmpl w:val="ED5A35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910071821">
    <w:abstractNumId w:val="23"/>
  </w:num>
  <w:num w:numId="2" w16cid:durableId="1686863716">
    <w:abstractNumId w:val="16"/>
  </w:num>
  <w:num w:numId="3" w16cid:durableId="1405177318">
    <w:abstractNumId w:val="38"/>
  </w:num>
  <w:num w:numId="4" w16cid:durableId="2091416957">
    <w:abstractNumId w:val="31"/>
  </w:num>
  <w:num w:numId="5" w16cid:durableId="2054570931">
    <w:abstractNumId w:val="6"/>
  </w:num>
  <w:num w:numId="6" w16cid:durableId="2008483989">
    <w:abstractNumId w:val="8"/>
  </w:num>
  <w:num w:numId="7" w16cid:durableId="2129469386">
    <w:abstractNumId w:val="7"/>
  </w:num>
  <w:num w:numId="8" w16cid:durableId="1948389552">
    <w:abstractNumId w:val="32"/>
  </w:num>
  <w:num w:numId="9" w16cid:durableId="1874607857">
    <w:abstractNumId w:val="12"/>
  </w:num>
  <w:num w:numId="10" w16cid:durableId="1706131316">
    <w:abstractNumId w:val="11"/>
  </w:num>
  <w:num w:numId="11" w16cid:durableId="883758607">
    <w:abstractNumId w:val="41"/>
  </w:num>
  <w:num w:numId="12" w16cid:durableId="418216336">
    <w:abstractNumId w:val="33"/>
  </w:num>
  <w:num w:numId="13" w16cid:durableId="1476724557">
    <w:abstractNumId w:val="24"/>
  </w:num>
  <w:num w:numId="14" w16cid:durableId="129132914">
    <w:abstractNumId w:val="18"/>
  </w:num>
  <w:num w:numId="15" w16cid:durableId="1841314876">
    <w:abstractNumId w:val="35"/>
  </w:num>
  <w:num w:numId="16" w16cid:durableId="497963608">
    <w:abstractNumId w:val="0"/>
  </w:num>
  <w:num w:numId="17" w16cid:durableId="1127049293">
    <w:abstractNumId w:val="22"/>
  </w:num>
  <w:num w:numId="18" w16cid:durableId="2086340727">
    <w:abstractNumId w:val="47"/>
  </w:num>
  <w:num w:numId="19" w16cid:durableId="1211309842">
    <w:abstractNumId w:val="46"/>
  </w:num>
  <w:num w:numId="20" w16cid:durableId="601885249">
    <w:abstractNumId w:val="19"/>
  </w:num>
  <w:num w:numId="21" w16cid:durableId="1343508518">
    <w:abstractNumId w:val="5"/>
  </w:num>
  <w:num w:numId="22" w16cid:durableId="752624467">
    <w:abstractNumId w:val="3"/>
  </w:num>
  <w:num w:numId="23" w16cid:durableId="1582986275">
    <w:abstractNumId w:val="20"/>
  </w:num>
  <w:num w:numId="24" w16cid:durableId="1363439638">
    <w:abstractNumId w:val="43"/>
  </w:num>
  <w:num w:numId="25" w16cid:durableId="536354397">
    <w:abstractNumId w:val="45"/>
  </w:num>
  <w:num w:numId="26" w16cid:durableId="1966541256">
    <w:abstractNumId w:val="29"/>
  </w:num>
  <w:num w:numId="27" w16cid:durableId="2027438793">
    <w:abstractNumId w:val="42"/>
  </w:num>
  <w:num w:numId="28" w16cid:durableId="50228893">
    <w:abstractNumId w:val="9"/>
  </w:num>
  <w:num w:numId="29" w16cid:durableId="576212765">
    <w:abstractNumId w:val="30"/>
  </w:num>
  <w:num w:numId="30" w16cid:durableId="625503634">
    <w:abstractNumId w:val="26"/>
  </w:num>
  <w:num w:numId="31" w16cid:durableId="1398868455">
    <w:abstractNumId w:val="44"/>
  </w:num>
  <w:num w:numId="32" w16cid:durableId="416444121">
    <w:abstractNumId w:val="21"/>
  </w:num>
  <w:num w:numId="33" w16cid:durableId="1427992633">
    <w:abstractNumId w:val="34"/>
  </w:num>
  <w:num w:numId="34" w16cid:durableId="294065801">
    <w:abstractNumId w:val="4"/>
  </w:num>
  <w:num w:numId="35" w16cid:durableId="1466504167">
    <w:abstractNumId w:val="37"/>
  </w:num>
  <w:num w:numId="36" w16cid:durableId="76832048">
    <w:abstractNumId w:val="36"/>
  </w:num>
  <w:num w:numId="37" w16cid:durableId="2097897338">
    <w:abstractNumId w:val="2"/>
  </w:num>
  <w:num w:numId="38" w16cid:durableId="393162565">
    <w:abstractNumId w:val="14"/>
  </w:num>
  <w:num w:numId="39" w16cid:durableId="368190294">
    <w:abstractNumId w:val="40"/>
  </w:num>
  <w:num w:numId="40" w16cid:durableId="1663778881">
    <w:abstractNumId w:val="17"/>
  </w:num>
  <w:num w:numId="41" w16cid:durableId="136147983">
    <w:abstractNumId w:val="28"/>
  </w:num>
  <w:num w:numId="42" w16cid:durableId="913784578">
    <w:abstractNumId w:val="1"/>
  </w:num>
  <w:num w:numId="43" w16cid:durableId="2041006705">
    <w:abstractNumId w:val="10"/>
  </w:num>
  <w:num w:numId="44" w16cid:durableId="823667135">
    <w:abstractNumId w:val="15"/>
  </w:num>
  <w:num w:numId="45" w16cid:durableId="12923297">
    <w:abstractNumId w:val="27"/>
  </w:num>
  <w:num w:numId="46" w16cid:durableId="961616372">
    <w:abstractNumId w:val="25"/>
  </w:num>
  <w:num w:numId="47" w16cid:durableId="1349987053">
    <w:abstractNumId w:val="39"/>
  </w:num>
  <w:num w:numId="48" w16cid:durableId="1043866819">
    <w:abstractNumId w:val="13"/>
  </w:num>
  <w:num w:numId="49" w16cid:durableId="832136495">
    <w:abstractNumId w:val="48"/>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66"/>
    <w:rsid w:val="000039B4"/>
    <w:rsid w:val="000073CB"/>
    <w:rsid w:val="000114D3"/>
    <w:rsid w:val="00012BF3"/>
    <w:rsid w:val="00014FB2"/>
    <w:rsid w:val="00015E6A"/>
    <w:rsid w:val="00020124"/>
    <w:rsid w:val="000212FE"/>
    <w:rsid w:val="00021920"/>
    <w:rsid w:val="000270C7"/>
    <w:rsid w:val="000272BB"/>
    <w:rsid w:val="000322DD"/>
    <w:rsid w:val="00033BF8"/>
    <w:rsid w:val="000355F0"/>
    <w:rsid w:val="00037E56"/>
    <w:rsid w:val="00040423"/>
    <w:rsid w:val="00043320"/>
    <w:rsid w:val="000442B3"/>
    <w:rsid w:val="00045288"/>
    <w:rsid w:val="00052E37"/>
    <w:rsid w:val="000533C4"/>
    <w:rsid w:val="000545F3"/>
    <w:rsid w:val="00060B17"/>
    <w:rsid w:val="00062714"/>
    <w:rsid w:val="00066C06"/>
    <w:rsid w:val="00070ED2"/>
    <w:rsid w:val="0007583B"/>
    <w:rsid w:val="0008390E"/>
    <w:rsid w:val="00086579"/>
    <w:rsid w:val="00087DA9"/>
    <w:rsid w:val="0009332E"/>
    <w:rsid w:val="000947FF"/>
    <w:rsid w:val="00094F63"/>
    <w:rsid w:val="000975ED"/>
    <w:rsid w:val="000977F1"/>
    <w:rsid w:val="000A34C6"/>
    <w:rsid w:val="000A53FD"/>
    <w:rsid w:val="000B1AE8"/>
    <w:rsid w:val="000B462C"/>
    <w:rsid w:val="000B4630"/>
    <w:rsid w:val="000C18A5"/>
    <w:rsid w:val="000C2C63"/>
    <w:rsid w:val="000C4525"/>
    <w:rsid w:val="000C4CB1"/>
    <w:rsid w:val="000C7991"/>
    <w:rsid w:val="000D28E8"/>
    <w:rsid w:val="000E1643"/>
    <w:rsid w:val="000E1DD5"/>
    <w:rsid w:val="000E2C64"/>
    <w:rsid w:val="000E511F"/>
    <w:rsid w:val="000E7A55"/>
    <w:rsid w:val="000F0C3A"/>
    <w:rsid w:val="000F2B7D"/>
    <w:rsid w:val="000F2CB1"/>
    <w:rsid w:val="000F37BE"/>
    <w:rsid w:val="000F481F"/>
    <w:rsid w:val="000F604D"/>
    <w:rsid w:val="000F786B"/>
    <w:rsid w:val="00103AC3"/>
    <w:rsid w:val="00104054"/>
    <w:rsid w:val="00104FD2"/>
    <w:rsid w:val="00110CF9"/>
    <w:rsid w:val="00110FF0"/>
    <w:rsid w:val="00114533"/>
    <w:rsid w:val="00116DFF"/>
    <w:rsid w:val="0011783F"/>
    <w:rsid w:val="00120DC4"/>
    <w:rsid w:val="00122CA7"/>
    <w:rsid w:val="00123AC1"/>
    <w:rsid w:val="0012778B"/>
    <w:rsid w:val="00132FC7"/>
    <w:rsid w:val="0013379F"/>
    <w:rsid w:val="00137579"/>
    <w:rsid w:val="00140457"/>
    <w:rsid w:val="00141E8B"/>
    <w:rsid w:val="001432FD"/>
    <w:rsid w:val="00150419"/>
    <w:rsid w:val="00152D68"/>
    <w:rsid w:val="001564E5"/>
    <w:rsid w:val="00157C58"/>
    <w:rsid w:val="00163EEB"/>
    <w:rsid w:val="00164C1A"/>
    <w:rsid w:val="00170828"/>
    <w:rsid w:val="00173FD2"/>
    <w:rsid w:val="001744FE"/>
    <w:rsid w:val="00181118"/>
    <w:rsid w:val="001821CB"/>
    <w:rsid w:val="00182E1B"/>
    <w:rsid w:val="0018704C"/>
    <w:rsid w:val="001909EB"/>
    <w:rsid w:val="00192881"/>
    <w:rsid w:val="00192F55"/>
    <w:rsid w:val="0019422B"/>
    <w:rsid w:val="00197334"/>
    <w:rsid w:val="001A0547"/>
    <w:rsid w:val="001A1826"/>
    <w:rsid w:val="001A25F8"/>
    <w:rsid w:val="001A71E2"/>
    <w:rsid w:val="001B33E2"/>
    <w:rsid w:val="001B6DE9"/>
    <w:rsid w:val="001C007D"/>
    <w:rsid w:val="001C178D"/>
    <w:rsid w:val="001C1800"/>
    <w:rsid w:val="001D7770"/>
    <w:rsid w:val="001D7B03"/>
    <w:rsid w:val="001E1176"/>
    <w:rsid w:val="001E275A"/>
    <w:rsid w:val="001E53F1"/>
    <w:rsid w:val="001E62FA"/>
    <w:rsid w:val="001F2E35"/>
    <w:rsid w:val="001F32C2"/>
    <w:rsid w:val="001F7D31"/>
    <w:rsid w:val="001FBB79"/>
    <w:rsid w:val="00200E40"/>
    <w:rsid w:val="002026BA"/>
    <w:rsid w:val="0020297B"/>
    <w:rsid w:val="00202B77"/>
    <w:rsid w:val="002036EF"/>
    <w:rsid w:val="00210530"/>
    <w:rsid w:val="00215DA3"/>
    <w:rsid w:val="00230B08"/>
    <w:rsid w:val="00234F48"/>
    <w:rsid w:val="00240099"/>
    <w:rsid w:val="0024165F"/>
    <w:rsid w:val="00241BBC"/>
    <w:rsid w:val="002439EB"/>
    <w:rsid w:val="0024774D"/>
    <w:rsid w:val="0025160E"/>
    <w:rsid w:val="00253B05"/>
    <w:rsid w:val="00261652"/>
    <w:rsid w:val="00263617"/>
    <w:rsid w:val="00267818"/>
    <w:rsid w:val="00271EF5"/>
    <w:rsid w:val="00274DF1"/>
    <w:rsid w:val="00275DA9"/>
    <w:rsid w:val="00277624"/>
    <w:rsid w:val="0028284F"/>
    <w:rsid w:val="0029305F"/>
    <w:rsid w:val="0029449F"/>
    <w:rsid w:val="00294C3B"/>
    <w:rsid w:val="00296576"/>
    <w:rsid w:val="0029686D"/>
    <w:rsid w:val="002A1DBA"/>
    <w:rsid w:val="002C1670"/>
    <w:rsid w:val="002C397B"/>
    <w:rsid w:val="002C4A5D"/>
    <w:rsid w:val="002C54B1"/>
    <w:rsid w:val="002C5A3E"/>
    <w:rsid w:val="002C5D5A"/>
    <w:rsid w:val="002C7191"/>
    <w:rsid w:val="002C736E"/>
    <w:rsid w:val="002D1D51"/>
    <w:rsid w:val="002D2DD6"/>
    <w:rsid w:val="002D353C"/>
    <w:rsid w:val="002E0695"/>
    <w:rsid w:val="002E10DD"/>
    <w:rsid w:val="002E4F95"/>
    <w:rsid w:val="002E5674"/>
    <w:rsid w:val="002F064B"/>
    <w:rsid w:val="002F099E"/>
    <w:rsid w:val="002F1CCA"/>
    <w:rsid w:val="002F6CCF"/>
    <w:rsid w:val="002F7A1D"/>
    <w:rsid w:val="00303099"/>
    <w:rsid w:val="00310A78"/>
    <w:rsid w:val="00315685"/>
    <w:rsid w:val="0031594D"/>
    <w:rsid w:val="003209F0"/>
    <w:rsid w:val="00321BE3"/>
    <w:rsid w:val="0032318C"/>
    <w:rsid w:val="00324637"/>
    <w:rsid w:val="003265D0"/>
    <w:rsid w:val="00332057"/>
    <w:rsid w:val="00337660"/>
    <w:rsid w:val="00337AA7"/>
    <w:rsid w:val="00340222"/>
    <w:rsid w:val="00342143"/>
    <w:rsid w:val="00343DF4"/>
    <w:rsid w:val="00344718"/>
    <w:rsid w:val="003447B8"/>
    <w:rsid w:val="00344D61"/>
    <w:rsid w:val="003511FF"/>
    <w:rsid w:val="00351C44"/>
    <w:rsid w:val="003528DD"/>
    <w:rsid w:val="0035294A"/>
    <w:rsid w:val="00354398"/>
    <w:rsid w:val="00355425"/>
    <w:rsid w:val="00356123"/>
    <w:rsid w:val="00356A51"/>
    <w:rsid w:val="00356CAF"/>
    <w:rsid w:val="0036024C"/>
    <w:rsid w:val="003627BA"/>
    <w:rsid w:val="00364756"/>
    <w:rsid w:val="00366D46"/>
    <w:rsid w:val="00367356"/>
    <w:rsid w:val="003722F7"/>
    <w:rsid w:val="00374E72"/>
    <w:rsid w:val="00375621"/>
    <w:rsid w:val="00377137"/>
    <w:rsid w:val="003848CD"/>
    <w:rsid w:val="00385ADA"/>
    <w:rsid w:val="00386937"/>
    <w:rsid w:val="003A03E5"/>
    <w:rsid w:val="003A1C60"/>
    <w:rsid w:val="003A2779"/>
    <w:rsid w:val="003A4A9E"/>
    <w:rsid w:val="003A4B7E"/>
    <w:rsid w:val="003B205B"/>
    <w:rsid w:val="003B20E5"/>
    <w:rsid w:val="003B3C97"/>
    <w:rsid w:val="003C07CA"/>
    <w:rsid w:val="003C16B7"/>
    <w:rsid w:val="003C2F33"/>
    <w:rsid w:val="003C7086"/>
    <w:rsid w:val="003D0895"/>
    <w:rsid w:val="003E0E04"/>
    <w:rsid w:val="003E1DB2"/>
    <w:rsid w:val="003E2C04"/>
    <w:rsid w:val="003E58E5"/>
    <w:rsid w:val="003E5CC2"/>
    <w:rsid w:val="003E6DFC"/>
    <w:rsid w:val="003E74B6"/>
    <w:rsid w:val="003F05E7"/>
    <w:rsid w:val="003F1389"/>
    <w:rsid w:val="003F5492"/>
    <w:rsid w:val="003F6359"/>
    <w:rsid w:val="003F6418"/>
    <w:rsid w:val="00402C48"/>
    <w:rsid w:val="0040336A"/>
    <w:rsid w:val="004057F3"/>
    <w:rsid w:val="004065FF"/>
    <w:rsid w:val="00407DC2"/>
    <w:rsid w:val="00411A89"/>
    <w:rsid w:val="00413A24"/>
    <w:rsid w:val="00416800"/>
    <w:rsid w:val="00416F9C"/>
    <w:rsid w:val="00421239"/>
    <w:rsid w:val="00421A5A"/>
    <w:rsid w:val="0042208A"/>
    <w:rsid w:val="00423B34"/>
    <w:rsid w:val="004276F6"/>
    <w:rsid w:val="004308C0"/>
    <w:rsid w:val="00432267"/>
    <w:rsid w:val="0043337B"/>
    <w:rsid w:val="00436BD4"/>
    <w:rsid w:val="00437745"/>
    <w:rsid w:val="00441845"/>
    <w:rsid w:val="0044217D"/>
    <w:rsid w:val="004427ED"/>
    <w:rsid w:val="00447E4D"/>
    <w:rsid w:val="00450E4B"/>
    <w:rsid w:val="00457D9B"/>
    <w:rsid w:val="0046003C"/>
    <w:rsid w:val="00461C37"/>
    <w:rsid w:val="00474644"/>
    <w:rsid w:val="00475046"/>
    <w:rsid w:val="00481952"/>
    <w:rsid w:val="00482B52"/>
    <w:rsid w:val="00486251"/>
    <w:rsid w:val="00486DDC"/>
    <w:rsid w:val="00491BE0"/>
    <w:rsid w:val="00491E71"/>
    <w:rsid w:val="0049608D"/>
    <w:rsid w:val="0049786D"/>
    <w:rsid w:val="004A018B"/>
    <w:rsid w:val="004A392E"/>
    <w:rsid w:val="004A4637"/>
    <w:rsid w:val="004A59F1"/>
    <w:rsid w:val="004A644C"/>
    <w:rsid w:val="004B227E"/>
    <w:rsid w:val="004B6F29"/>
    <w:rsid w:val="004C0A0B"/>
    <w:rsid w:val="004C327D"/>
    <w:rsid w:val="004C5B9F"/>
    <w:rsid w:val="004D190D"/>
    <w:rsid w:val="004D3675"/>
    <w:rsid w:val="004D59A3"/>
    <w:rsid w:val="004D7069"/>
    <w:rsid w:val="004D742E"/>
    <w:rsid w:val="004D7D14"/>
    <w:rsid w:val="004E1107"/>
    <w:rsid w:val="004E33C0"/>
    <w:rsid w:val="004E4BFA"/>
    <w:rsid w:val="004F0E56"/>
    <w:rsid w:val="004F454D"/>
    <w:rsid w:val="004F6292"/>
    <w:rsid w:val="004F7530"/>
    <w:rsid w:val="00500D77"/>
    <w:rsid w:val="00502075"/>
    <w:rsid w:val="005022C5"/>
    <w:rsid w:val="005035E2"/>
    <w:rsid w:val="00503FBA"/>
    <w:rsid w:val="00506B7E"/>
    <w:rsid w:val="00513542"/>
    <w:rsid w:val="00513AAB"/>
    <w:rsid w:val="005143AB"/>
    <w:rsid w:val="00520B42"/>
    <w:rsid w:val="00525CC6"/>
    <w:rsid w:val="00526B79"/>
    <w:rsid w:val="00527B0F"/>
    <w:rsid w:val="0053177B"/>
    <w:rsid w:val="00532336"/>
    <w:rsid w:val="00544541"/>
    <w:rsid w:val="00545059"/>
    <w:rsid w:val="0054728A"/>
    <w:rsid w:val="00547624"/>
    <w:rsid w:val="00550B9E"/>
    <w:rsid w:val="00551FEF"/>
    <w:rsid w:val="005569D5"/>
    <w:rsid w:val="0056381B"/>
    <w:rsid w:val="00565850"/>
    <w:rsid w:val="0057544F"/>
    <w:rsid w:val="0057698C"/>
    <w:rsid w:val="00577E4D"/>
    <w:rsid w:val="00590DAC"/>
    <w:rsid w:val="0059121A"/>
    <w:rsid w:val="00592096"/>
    <w:rsid w:val="0059349E"/>
    <w:rsid w:val="005951F2"/>
    <w:rsid w:val="00595659"/>
    <w:rsid w:val="005964D5"/>
    <w:rsid w:val="005A194A"/>
    <w:rsid w:val="005A55E8"/>
    <w:rsid w:val="005A701F"/>
    <w:rsid w:val="005A741E"/>
    <w:rsid w:val="005B4531"/>
    <w:rsid w:val="005B4962"/>
    <w:rsid w:val="005B53D5"/>
    <w:rsid w:val="005B54E8"/>
    <w:rsid w:val="005C064A"/>
    <w:rsid w:val="005C1526"/>
    <w:rsid w:val="005C5457"/>
    <w:rsid w:val="005C6B2E"/>
    <w:rsid w:val="005D578C"/>
    <w:rsid w:val="005D6218"/>
    <w:rsid w:val="005D6714"/>
    <w:rsid w:val="005E2CAF"/>
    <w:rsid w:val="005E7814"/>
    <w:rsid w:val="005E78E6"/>
    <w:rsid w:val="005F68C9"/>
    <w:rsid w:val="005F7421"/>
    <w:rsid w:val="00600B0C"/>
    <w:rsid w:val="00606F7C"/>
    <w:rsid w:val="00610F59"/>
    <w:rsid w:val="00611264"/>
    <w:rsid w:val="00612535"/>
    <w:rsid w:val="00616637"/>
    <w:rsid w:val="00620152"/>
    <w:rsid w:val="00620CAF"/>
    <w:rsid w:val="006217DC"/>
    <w:rsid w:val="0062411D"/>
    <w:rsid w:val="00624439"/>
    <w:rsid w:val="00624CA4"/>
    <w:rsid w:val="00626D7B"/>
    <w:rsid w:val="006306C7"/>
    <w:rsid w:val="006341C8"/>
    <w:rsid w:val="00637543"/>
    <w:rsid w:val="00641A1A"/>
    <w:rsid w:val="00641A9C"/>
    <w:rsid w:val="006447A5"/>
    <w:rsid w:val="00654D32"/>
    <w:rsid w:val="00654DAC"/>
    <w:rsid w:val="00655D47"/>
    <w:rsid w:val="00656EA2"/>
    <w:rsid w:val="006604D5"/>
    <w:rsid w:val="006648E6"/>
    <w:rsid w:val="00665EB6"/>
    <w:rsid w:val="00667891"/>
    <w:rsid w:val="00671EE7"/>
    <w:rsid w:val="0067422C"/>
    <w:rsid w:val="00675FA9"/>
    <w:rsid w:val="006768D9"/>
    <w:rsid w:val="00676E2E"/>
    <w:rsid w:val="0067711D"/>
    <w:rsid w:val="00683381"/>
    <w:rsid w:val="006838A0"/>
    <w:rsid w:val="006907DA"/>
    <w:rsid w:val="0069526D"/>
    <w:rsid w:val="0069647A"/>
    <w:rsid w:val="00696528"/>
    <w:rsid w:val="00697D35"/>
    <w:rsid w:val="006A3A4F"/>
    <w:rsid w:val="006B14C6"/>
    <w:rsid w:val="006B3D83"/>
    <w:rsid w:val="006B5B4D"/>
    <w:rsid w:val="006B5C4B"/>
    <w:rsid w:val="006C5EEC"/>
    <w:rsid w:val="006D1C29"/>
    <w:rsid w:val="006D2B76"/>
    <w:rsid w:val="006D4F16"/>
    <w:rsid w:val="006D73B0"/>
    <w:rsid w:val="006E5519"/>
    <w:rsid w:val="006E78D5"/>
    <w:rsid w:val="006F43B7"/>
    <w:rsid w:val="006F6A43"/>
    <w:rsid w:val="006F77EF"/>
    <w:rsid w:val="006F7DB3"/>
    <w:rsid w:val="00700237"/>
    <w:rsid w:val="00700A42"/>
    <w:rsid w:val="00704E74"/>
    <w:rsid w:val="00706EA9"/>
    <w:rsid w:val="007116DB"/>
    <w:rsid w:val="007128EE"/>
    <w:rsid w:val="00713BDF"/>
    <w:rsid w:val="007147F3"/>
    <w:rsid w:val="0072365F"/>
    <w:rsid w:val="00730354"/>
    <w:rsid w:val="00730962"/>
    <w:rsid w:val="00731234"/>
    <w:rsid w:val="00731980"/>
    <w:rsid w:val="00736AFF"/>
    <w:rsid w:val="00737F6D"/>
    <w:rsid w:val="00744C02"/>
    <w:rsid w:val="0074736B"/>
    <w:rsid w:val="00747504"/>
    <w:rsid w:val="007538E1"/>
    <w:rsid w:val="00754CBC"/>
    <w:rsid w:val="007672AB"/>
    <w:rsid w:val="00770B01"/>
    <w:rsid w:val="00772C33"/>
    <w:rsid w:val="007742C3"/>
    <w:rsid w:val="007811F4"/>
    <w:rsid w:val="007814EB"/>
    <w:rsid w:val="00781FA1"/>
    <w:rsid w:val="00786BD6"/>
    <w:rsid w:val="007915CB"/>
    <w:rsid w:val="00792065"/>
    <w:rsid w:val="007A0C3D"/>
    <w:rsid w:val="007A257D"/>
    <w:rsid w:val="007A34DC"/>
    <w:rsid w:val="007A380D"/>
    <w:rsid w:val="007A73F9"/>
    <w:rsid w:val="007A7480"/>
    <w:rsid w:val="007A7E4F"/>
    <w:rsid w:val="007C3815"/>
    <w:rsid w:val="007C70A2"/>
    <w:rsid w:val="007C7A5C"/>
    <w:rsid w:val="007D4936"/>
    <w:rsid w:val="007D6F9E"/>
    <w:rsid w:val="007E6249"/>
    <w:rsid w:val="007F09E3"/>
    <w:rsid w:val="007F1F6D"/>
    <w:rsid w:val="007F1FEA"/>
    <w:rsid w:val="007F209B"/>
    <w:rsid w:val="007F5F4C"/>
    <w:rsid w:val="007F71D9"/>
    <w:rsid w:val="00804976"/>
    <w:rsid w:val="00811D36"/>
    <w:rsid w:val="00812655"/>
    <w:rsid w:val="00820691"/>
    <w:rsid w:val="00822434"/>
    <w:rsid w:val="00822CFC"/>
    <w:rsid w:val="0082387F"/>
    <w:rsid w:val="008249BB"/>
    <w:rsid w:val="008305FD"/>
    <w:rsid w:val="00831991"/>
    <w:rsid w:val="00832C75"/>
    <w:rsid w:val="0083307D"/>
    <w:rsid w:val="00834E15"/>
    <w:rsid w:val="00835BCF"/>
    <w:rsid w:val="00836DAF"/>
    <w:rsid w:val="008370A6"/>
    <w:rsid w:val="00837917"/>
    <w:rsid w:val="00837F2C"/>
    <w:rsid w:val="00841055"/>
    <w:rsid w:val="00843E00"/>
    <w:rsid w:val="008456E3"/>
    <w:rsid w:val="0084615D"/>
    <w:rsid w:val="0084751D"/>
    <w:rsid w:val="0085023C"/>
    <w:rsid w:val="008525FC"/>
    <w:rsid w:val="00854FDC"/>
    <w:rsid w:val="008552D0"/>
    <w:rsid w:val="00856FD5"/>
    <w:rsid w:val="008654A4"/>
    <w:rsid w:val="0086640F"/>
    <w:rsid w:val="008665E2"/>
    <w:rsid w:val="00867FDA"/>
    <w:rsid w:val="00871E2A"/>
    <w:rsid w:val="008738D8"/>
    <w:rsid w:val="008764D8"/>
    <w:rsid w:val="00876C92"/>
    <w:rsid w:val="00880287"/>
    <w:rsid w:val="008828A8"/>
    <w:rsid w:val="00895D8C"/>
    <w:rsid w:val="008A1143"/>
    <w:rsid w:val="008A16F1"/>
    <w:rsid w:val="008A1B70"/>
    <w:rsid w:val="008A1F6A"/>
    <w:rsid w:val="008A47EA"/>
    <w:rsid w:val="008B33F8"/>
    <w:rsid w:val="008B6EA9"/>
    <w:rsid w:val="008B7122"/>
    <w:rsid w:val="008C1321"/>
    <w:rsid w:val="008C2F61"/>
    <w:rsid w:val="008C43DC"/>
    <w:rsid w:val="008C750A"/>
    <w:rsid w:val="008D203E"/>
    <w:rsid w:val="008D5726"/>
    <w:rsid w:val="008D6E1B"/>
    <w:rsid w:val="008E1A24"/>
    <w:rsid w:val="008E41D8"/>
    <w:rsid w:val="008E46D9"/>
    <w:rsid w:val="008E7036"/>
    <w:rsid w:val="008E7AC1"/>
    <w:rsid w:val="008F15BD"/>
    <w:rsid w:val="008F1731"/>
    <w:rsid w:val="008F1BBD"/>
    <w:rsid w:val="008F1C2B"/>
    <w:rsid w:val="008F2C42"/>
    <w:rsid w:val="008F4432"/>
    <w:rsid w:val="00901773"/>
    <w:rsid w:val="00903C6F"/>
    <w:rsid w:val="00907D32"/>
    <w:rsid w:val="00910F9F"/>
    <w:rsid w:val="009115D6"/>
    <w:rsid w:val="00912AB9"/>
    <w:rsid w:val="00913A0C"/>
    <w:rsid w:val="0091431B"/>
    <w:rsid w:val="00915D58"/>
    <w:rsid w:val="00917B9B"/>
    <w:rsid w:val="009224E0"/>
    <w:rsid w:val="00922D0E"/>
    <w:rsid w:val="0092425C"/>
    <w:rsid w:val="00926C29"/>
    <w:rsid w:val="009272AA"/>
    <w:rsid w:val="0092741D"/>
    <w:rsid w:val="00953934"/>
    <w:rsid w:val="00953AA4"/>
    <w:rsid w:val="0095521C"/>
    <w:rsid w:val="009605C8"/>
    <w:rsid w:val="00960BF1"/>
    <w:rsid w:val="00960C12"/>
    <w:rsid w:val="00963F48"/>
    <w:rsid w:val="009676D5"/>
    <w:rsid w:val="009678B6"/>
    <w:rsid w:val="00971AB5"/>
    <w:rsid w:val="00973978"/>
    <w:rsid w:val="00973D40"/>
    <w:rsid w:val="00981CAE"/>
    <w:rsid w:val="009834AD"/>
    <w:rsid w:val="00983B16"/>
    <w:rsid w:val="009911A9"/>
    <w:rsid w:val="009940AD"/>
    <w:rsid w:val="00995EF3"/>
    <w:rsid w:val="009960BB"/>
    <w:rsid w:val="009A1F0E"/>
    <w:rsid w:val="009A2F1D"/>
    <w:rsid w:val="009A3851"/>
    <w:rsid w:val="009A57D9"/>
    <w:rsid w:val="009B0275"/>
    <w:rsid w:val="009B4238"/>
    <w:rsid w:val="009B44E4"/>
    <w:rsid w:val="009B523E"/>
    <w:rsid w:val="009B5675"/>
    <w:rsid w:val="009C1AD8"/>
    <w:rsid w:val="009C2116"/>
    <w:rsid w:val="009C3221"/>
    <w:rsid w:val="009C40F8"/>
    <w:rsid w:val="009D18C8"/>
    <w:rsid w:val="009D3990"/>
    <w:rsid w:val="009E2840"/>
    <w:rsid w:val="009E47A7"/>
    <w:rsid w:val="009F118E"/>
    <w:rsid w:val="009F34DB"/>
    <w:rsid w:val="009F3E3D"/>
    <w:rsid w:val="009F65B6"/>
    <w:rsid w:val="00A00E66"/>
    <w:rsid w:val="00A02DF0"/>
    <w:rsid w:val="00A03425"/>
    <w:rsid w:val="00A0575F"/>
    <w:rsid w:val="00A06B63"/>
    <w:rsid w:val="00A11FB8"/>
    <w:rsid w:val="00A1397F"/>
    <w:rsid w:val="00A14576"/>
    <w:rsid w:val="00A15C3F"/>
    <w:rsid w:val="00A1784B"/>
    <w:rsid w:val="00A20BBC"/>
    <w:rsid w:val="00A21709"/>
    <w:rsid w:val="00A26C02"/>
    <w:rsid w:val="00A3252D"/>
    <w:rsid w:val="00A341BA"/>
    <w:rsid w:val="00A357AE"/>
    <w:rsid w:val="00A366B3"/>
    <w:rsid w:val="00A4051E"/>
    <w:rsid w:val="00A42065"/>
    <w:rsid w:val="00A42FCD"/>
    <w:rsid w:val="00A43A0F"/>
    <w:rsid w:val="00A44622"/>
    <w:rsid w:val="00A47A57"/>
    <w:rsid w:val="00A51512"/>
    <w:rsid w:val="00A53AFA"/>
    <w:rsid w:val="00A5512D"/>
    <w:rsid w:val="00A6060C"/>
    <w:rsid w:val="00A61313"/>
    <w:rsid w:val="00A716EF"/>
    <w:rsid w:val="00A80CBA"/>
    <w:rsid w:val="00A844B0"/>
    <w:rsid w:val="00A85542"/>
    <w:rsid w:val="00A867C4"/>
    <w:rsid w:val="00A91C13"/>
    <w:rsid w:val="00A92D50"/>
    <w:rsid w:val="00A933B1"/>
    <w:rsid w:val="00A94182"/>
    <w:rsid w:val="00AA0CBF"/>
    <w:rsid w:val="00AB47D0"/>
    <w:rsid w:val="00AB49A1"/>
    <w:rsid w:val="00AB7C49"/>
    <w:rsid w:val="00AC30E5"/>
    <w:rsid w:val="00AC6623"/>
    <w:rsid w:val="00AD0CEC"/>
    <w:rsid w:val="00AD3E60"/>
    <w:rsid w:val="00AD479B"/>
    <w:rsid w:val="00AD54B7"/>
    <w:rsid w:val="00AD62DC"/>
    <w:rsid w:val="00AE1541"/>
    <w:rsid w:val="00AE30D4"/>
    <w:rsid w:val="00AE771B"/>
    <w:rsid w:val="00AE78B8"/>
    <w:rsid w:val="00AF55C6"/>
    <w:rsid w:val="00AF5E0A"/>
    <w:rsid w:val="00AF607D"/>
    <w:rsid w:val="00B01BCE"/>
    <w:rsid w:val="00B04570"/>
    <w:rsid w:val="00B04966"/>
    <w:rsid w:val="00B067C8"/>
    <w:rsid w:val="00B07BDA"/>
    <w:rsid w:val="00B142DD"/>
    <w:rsid w:val="00B14596"/>
    <w:rsid w:val="00B24994"/>
    <w:rsid w:val="00B26D28"/>
    <w:rsid w:val="00B27EC9"/>
    <w:rsid w:val="00B314D2"/>
    <w:rsid w:val="00B33F6A"/>
    <w:rsid w:val="00B351D2"/>
    <w:rsid w:val="00B35C49"/>
    <w:rsid w:val="00B4278F"/>
    <w:rsid w:val="00B42F2C"/>
    <w:rsid w:val="00B45D59"/>
    <w:rsid w:val="00B47230"/>
    <w:rsid w:val="00B5289B"/>
    <w:rsid w:val="00B538C1"/>
    <w:rsid w:val="00B562D5"/>
    <w:rsid w:val="00B63DED"/>
    <w:rsid w:val="00B64237"/>
    <w:rsid w:val="00B66746"/>
    <w:rsid w:val="00B676E6"/>
    <w:rsid w:val="00B714FB"/>
    <w:rsid w:val="00B7189C"/>
    <w:rsid w:val="00B72DF3"/>
    <w:rsid w:val="00B75D64"/>
    <w:rsid w:val="00B77A43"/>
    <w:rsid w:val="00B84C13"/>
    <w:rsid w:val="00B92748"/>
    <w:rsid w:val="00B9324A"/>
    <w:rsid w:val="00B95AEE"/>
    <w:rsid w:val="00B96EA6"/>
    <w:rsid w:val="00BA114A"/>
    <w:rsid w:val="00BA4B3A"/>
    <w:rsid w:val="00BA6173"/>
    <w:rsid w:val="00BA73A7"/>
    <w:rsid w:val="00BB1653"/>
    <w:rsid w:val="00BC0B48"/>
    <w:rsid w:val="00BC25FA"/>
    <w:rsid w:val="00BC27D3"/>
    <w:rsid w:val="00BC2AA2"/>
    <w:rsid w:val="00BC422F"/>
    <w:rsid w:val="00BE151A"/>
    <w:rsid w:val="00BE2119"/>
    <w:rsid w:val="00BE47E5"/>
    <w:rsid w:val="00BE5F06"/>
    <w:rsid w:val="00BF48DD"/>
    <w:rsid w:val="00BF6A38"/>
    <w:rsid w:val="00BF73D4"/>
    <w:rsid w:val="00C03BBE"/>
    <w:rsid w:val="00C10C7A"/>
    <w:rsid w:val="00C1211E"/>
    <w:rsid w:val="00C12AA8"/>
    <w:rsid w:val="00C149F1"/>
    <w:rsid w:val="00C14B2B"/>
    <w:rsid w:val="00C1665C"/>
    <w:rsid w:val="00C224C1"/>
    <w:rsid w:val="00C25D12"/>
    <w:rsid w:val="00C33386"/>
    <w:rsid w:val="00C34F4C"/>
    <w:rsid w:val="00C3566B"/>
    <w:rsid w:val="00C42FE5"/>
    <w:rsid w:val="00C43FAC"/>
    <w:rsid w:val="00C4675A"/>
    <w:rsid w:val="00C47609"/>
    <w:rsid w:val="00C53414"/>
    <w:rsid w:val="00C631DA"/>
    <w:rsid w:val="00C63D19"/>
    <w:rsid w:val="00C64E01"/>
    <w:rsid w:val="00C664F9"/>
    <w:rsid w:val="00C71AF8"/>
    <w:rsid w:val="00C72EBC"/>
    <w:rsid w:val="00C74056"/>
    <w:rsid w:val="00C77B80"/>
    <w:rsid w:val="00C8742C"/>
    <w:rsid w:val="00C90B5A"/>
    <w:rsid w:val="00C940DB"/>
    <w:rsid w:val="00C948B8"/>
    <w:rsid w:val="00C9589C"/>
    <w:rsid w:val="00CA196B"/>
    <w:rsid w:val="00CB0C0B"/>
    <w:rsid w:val="00CB2534"/>
    <w:rsid w:val="00CC5826"/>
    <w:rsid w:val="00CC6CD9"/>
    <w:rsid w:val="00CC770F"/>
    <w:rsid w:val="00CD14A2"/>
    <w:rsid w:val="00CD4038"/>
    <w:rsid w:val="00CE06AF"/>
    <w:rsid w:val="00CE2D7A"/>
    <w:rsid w:val="00CE4927"/>
    <w:rsid w:val="00CE4B67"/>
    <w:rsid w:val="00CE4E01"/>
    <w:rsid w:val="00CE7AC5"/>
    <w:rsid w:val="00CF6A6B"/>
    <w:rsid w:val="00D01A88"/>
    <w:rsid w:val="00D0242D"/>
    <w:rsid w:val="00D17526"/>
    <w:rsid w:val="00D179C7"/>
    <w:rsid w:val="00D17DF8"/>
    <w:rsid w:val="00D215A1"/>
    <w:rsid w:val="00D22A66"/>
    <w:rsid w:val="00D2424D"/>
    <w:rsid w:val="00D247FE"/>
    <w:rsid w:val="00D266C6"/>
    <w:rsid w:val="00D35201"/>
    <w:rsid w:val="00D35707"/>
    <w:rsid w:val="00D36EFD"/>
    <w:rsid w:val="00D403DE"/>
    <w:rsid w:val="00D40C30"/>
    <w:rsid w:val="00D41C49"/>
    <w:rsid w:val="00D42BB0"/>
    <w:rsid w:val="00D43313"/>
    <w:rsid w:val="00D43C22"/>
    <w:rsid w:val="00D45B8D"/>
    <w:rsid w:val="00D47CCA"/>
    <w:rsid w:val="00D51D48"/>
    <w:rsid w:val="00D56F0C"/>
    <w:rsid w:val="00D615A0"/>
    <w:rsid w:val="00D7053D"/>
    <w:rsid w:val="00D71CEC"/>
    <w:rsid w:val="00D754EF"/>
    <w:rsid w:val="00D80B49"/>
    <w:rsid w:val="00D81EA9"/>
    <w:rsid w:val="00D82118"/>
    <w:rsid w:val="00D82176"/>
    <w:rsid w:val="00D836E6"/>
    <w:rsid w:val="00D906DC"/>
    <w:rsid w:val="00D919A6"/>
    <w:rsid w:val="00D92339"/>
    <w:rsid w:val="00D9306E"/>
    <w:rsid w:val="00D9405A"/>
    <w:rsid w:val="00D94305"/>
    <w:rsid w:val="00D96525"/>
    <w:rsid w:val="00D96CAF"/>
    <w:rsid w:val="00DA5B0C"/>
    <w:rsid w:val="00DA65BA"/>
    <w:rsid w:val="00DA7289"/>
    <w:rsid w:val="00DB060E"/>
    <w:rsid w:val="00DB1832"/>
    <w:rsid w:val="00DB202E"/>
    <w:rsid w:val="00DB24BB"/>
    <w:rsid w:val="00DB4853"/>
    <w:rsid w:val="00DB520C"/>
    <w:rsid w:val="00DB5C0E"/>
    <w:rsid w:val="00DB6786"/>
    <w:rsid w:val="00DB6FED"/>
    <w:rsid w:val="00DC02C9"/>
    <w:rsid w:val="00DC443E"/>
    <w:rsid w:val="00DC522F"/>
    <w:rsid w:val="00DC5913"/>
    <w:rsid w:val="00DC675D"/>
    <w:rsid w:val="00DD1223"/>
    <w:rsid w:val="00DD2D29"/>
    <w:rsid w:val="00DD647A"/>
    <w:rsid w:val="00DD6C0B"/>
    <w:rsid w:val="00DE465D"/>
    <w:rsid w:val="00DE4FA4"/>
    <w:rsid w:val="00DF033C"/>
    <w:rsid w:val="00DF06F0"/>
    <w:rsid w:val="00DF13C0"/>
    <w:rsid w:val="00DF64AD"/>
    <w:rsid w:val="00DF666E"/>
    <w:rsid w:val="00E01B68"/>
    <w:rsid w:val="00E02DD3"/>
    <w:rsid w:val="00E044CE"/>
    <w:rsid w:val="00E04749"/>
    <w:rsid w:val="00E07E11"/>
    <w:rsid w:val="00E10D28"/>
    <w:rsid w:val="00E12519"/>
    <w:rsid w:val="00E13AA2"/>
    <w:rsid w:val="00E156BA"/>
    <w:rsid w:val="00E21759"/>
    <w:rsid w:val="00E2206F"/>
    <w:rsid w:val="00E23266"/>
    <w:rsid w:val="00E25AAD"/>
    <w:rsid w:val="00E25DF1"/>
    <w:rsid w:val="00E31D16"/>
    <w:rsid w:val="00E33825"/>
    <w:rsid w:val="00E34E42"/>
    <w:rsid w:val="00E366AA"/>
    <w:rsid w:val="00E43005"/>
    <w:rsid w:val="00E5078A"/>
    <w:rsid w:val="00E53A1D"/>
    <w:rsid w:val="00E54663"/>
    <w:rsid w:val="00E5551A"/>
    <w:rsid w:val="00E56104"/>
    <w:rsid w:val="00E604CC"/>
    <w:rsid w:val="00E6251F"/>
    <w:rsid w:val="00E67EE9"/>
    <w:rsid w:val="00E77BC0"/>
    <w:rsid w:val="00E8102E"/>
    <w:rsid w:val="00E81DDD"/>
    <w:rsid w:val="00E823E9"/>
    <w:rsid w:val="00E83AA1"/>
    <w:rsid w:val="00E87523"/>
    <w:rsid w:val="00E9275A"/>
    <w:rsid w:val="00EA375D"/>
    <w:rsid w:val="00EB1663"/>
    <w:rsid w:val="00EC4DBE"/>
    <w:rsid w:val="00EC65EE"/>
    <w:rsid w:val="00EE0940"/>
    <w:rsid w:val="00EE18C5"/>
    <w:rsid w:val="00EE5BCA"/>
    <w:rsid w:val="00EF2E8D"/>
    <w:rsid w:val="00EF5D68"/>
    <w:rsid w:val="00F04593"/>
    <w:rsid w:val="00F07F63"/>
    <w:rsid w:val="00F108C1"/>
    <w:rsid w:val="00F11D0C"/>
    <w:rsid w:val="00F12E89"/>
    <w:rsid w:val="00F17DB3"/>
    <w:rsid w:val="00F22031"/>
    <w:rsid w:val="00F26D07"/>
    <w:rsid w:val="00F319D2"/>
    <w:rsid w:val="00F35C45"/>
    <w:rsid w:val="00F3648A"/>
    <w:rsid w:val="00F40478"/>
    <w:rsid w:val="00F4205F"/>
    <w:rsid w:val="00F4249D"/>
    <w:rsid w:val="00F47485"/>
    <w:rsid w:val="00F51F8A"/>
    <w:rsid w:val="00F52211"/>
    <w:rsid w:val="00F52CD3"/>
    <w:rsid w:val="00F54D60"/>
    <w:rsid w:val="00F57F66"/>
    <w:rsid w:val="00F60B3E"/>
    <w:rsid w:val="00F6275C"/>
    <w:rsid w:val="00F63297"/>
    <w:rsid w:val="00F710D0"/>
    <w:rsid w:val="00F81909"/>
    <w:rsid w:val="00F821AD"/>
    <w:rsid w:val="00F84646"/>
    <w:rsid w:val="00F85495"/>
    <w:rsid w:val="00F85C39"/>
    <w:rsid w:val="00F85FF3"/>
    <w:rsid w:val="00F87F68"/>
    <w:rsid w:val="00F95BE5"/>
    <w:rsid w:val="00FA0DCD"/>
    <w:rsid w:val="00FA6E01"/>
    <w:rsid w:val="00FA6E4B"/>
    <w:rsid w:val="00FB3FCF"/>
    <w:rsid w:val="00FB421E"/>
    <w:rsid w:val="00FB5914"/>
    <w:rsid w:val="00FB7E86"/>
    <w:rsid w:val="00FC1C35"/>
    <w:rsid w:val="00FC461A"/>
    <w:rsid w:val="00FC4644"/>
    <w:rsid w:val="00FD05E5"/>
    <w:rsid w:val="00FD08EC"/>
    <w:rsid w:val="00FD14D0"/>
    <w:rsid w:val="00FD1D64"/>
    <w:rsid w:val="00FD3AE9"/>
    <w:rsid w:val="00FD4E02"/>
    <w:rsid w:val="00FD55AB"/>
    <w:rsid w:val="00FD6A71"/>
    <w:rsid w:val="00FE05EA"/>
    <w:rsid w:val="00FE39B6"/>
    <w:rsid w:val="00FE421E"/>
    <w:rsid w:val="00FE4623"/>
    <w:rsid w:val="00FF2CB9"/>
    <w:rsid w:val="041EDB31"/>
    <w:rsid w:val="064AF996"/>
    <w:rsid w:val="078B6B19"/>
    <w:rsid w:val="08CA1FD3"/>
    <w:rsid w:val="08F943F2"/>
    <w:rsid w:val="09157AB2"/>
    <w:rsid w:val="09E26A1D"/>
    <w:rsid w:val="0A466699"/>
    <w:rsid w:val="0B845683"/>
    <w:rsid w:val="0D34038F"/>
    <w:rsid w:val="10498685"/>
    <w:rsid w:val="11B5213D"/>
    <w:rsid w:val="1224F0D9"/>
    <w:rsid w:val="13316A24"/>
    <w:rsid w:val="1ADF8BAD"/>
    <w:rsid w:val="1E9FCC5D"/>
    <w:rsid w:val="1FABD993"/>
    <w:rsid w:val="21269B42"/>
    <w:rsid w:val="29817F35"/>
    <w:rsid w:val="29E16F14"/>
    <w:rsid w:val="2B5A0356"/>
    <w:rsid w:val="32A4BAB8"/>
    <w:rsid w:val="3524667E"/>
    <w:rsid w:val="35A72B3B"/>
    <w:rsid w:val="38A2B616"/>
    <w:rsid w:val="3A1C4A21"/>
    <w:rsid w:val="40BD0749"/>
    <w:rsid w:val="4162B6B1"/>
    <w:rsid w:val="432A55A4"/>
    <w:rsid w:val="4430470F"/>
    <w:rsid w:val="4617D4FD"/>
    <w:rsid w:val="4721CB6B"/>
    <w:rsid w:val="4AA8AC89"/>
    <w:rsid w:val="4ACAE701"/>
    <w:rsid w:val="4D380654"/>
    <w:rsid w:val="4F233ADF"/>
    <w:rsid w:val="519DE8A1"/>
    <w:rsid w:val="574AFAC2"/>
    <w:rsid w:val="575C229F"/>
    <w:rsid w:val="59E9FE62"/>
    <w:rsid w:val="5D47AC1D"/>
    <w:rsid w:val="5D6F0FD9"/>
    <w:rsid w:val="6227C7BC"/>
    <w:rsid w:val="62F10A56"/>
    <w:rsid w:val="65816C69"/>
    <w:rsid w:val="684AE6E6"/>
    <w:rsid w:val="6B89C9C0"/>
    <w:rsid w:val="6C4FB7D3"/>
    <w:rsid w:val="6CBE4C7F"/>
    <w:rsid w:val="721B65B4"/>
    <w:rsid w:val="73B71C40"/>
    <w:rsid w:val="784C4D90"/>
    <w:rsid w:val="7D03C0B8"/>
    <w:rsid w:val="7F36C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8C9B6"/>
  <w15:chartTrackingRefBased/>
  <w15:docId w15:val="{3C4B2BFC-C85E-4707-A632-6CC4E159D5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before="40" w:line="360" w:lineRule="auto"/>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202E"/>
    <w:rPr>
      <w:sz w:val="24"/>
    </w:rPr>
  </w:style>
  <w:style w:type="paragraph" w:styleId="Heading1">
    <w:name w:val="heading 1"/>
    <w:basedOn w:val="Normal"/>
    <w:next w:val="Normal"/>
    <w:link w:val="Heading1Char"/>
    <w:uiPriority w:val="9"/>
    <w:qFormat/>
    <w:rsid w:val="009940AD"/>
    <w:pPr>
      <w:keepNext/>
      <w:keepLines/>
      <w:spacing w:before="240"/>
      <w:ind w:left="0"/>
      <w:outlineLvl w:val="0"/>
    </w:pPr>
    <w:rPr>
      <w:rFonts w:asciiTheme="majorHAnsi" w:hAnsiTheme="majorHAnsi" w:eastAsiaTheme="majorEastAsia" w:cstheme="majorBidi"/>
      <w:b/>
      <w:color w:val="990033" w:themeColor="accent2"/>
      <w:sz w:val="32"/>
      <w:szCs w:val="32"/>
    </w:rPr>
  </w:style>
  <w:style w:type="paragraph" w:styleId="Heading2">
    <w:name w:val="heading 2"/>
    <w:basedOn w:val="Normal"/>
    <w:next w:val="Normal"/>
    <w:link w:val="Heading2Char"/>
    <w:uiPriority w:val="9"/>
    <w:unhideWhenUsed/>
    <w:qFormat/>
    <w:rsid w:val="00F85FF3"/>
    <w:pPr>
      <w:keepNext/>
      <w:keepLines/>
      <w:tabs>
        <w:tab w:val="left" w:pos="720"/>
      </w:tabs>
      <w:ind w:left="720"/>
      <w:outlineLvl w:val="1"/>
    </w:pPr>
    <w:rPr>
      <w:rFonts w:asciiTheme="majorHAnsi" w:hAnsiTheme="majorHAnsi" w:eastAsiaTheme="majorEastAsia" w:cstheme="majorBidi"/>
      <w:b/>
      <w:i/>
      <w:color w:val="418551"/>
      <w:sz w:val="28"/>
      <w:szCs w:val="26"/>
    </w:rPr>
  </w:style>
  <w:style w:type="paragraph" w:styleId="Heading3">
    <w:name w:val="heading 3"/>
    <w:basedOn w:val="Normal"/>
    <w:next w:val="Normal"/>
    <w:link w:val="Heading3Char"/>
    <w:autoRedefine/>
    <w:uiPriority w:val="9"/>
    <w:unhideWhenUsed/>
    <w:qFormat/>
    <w:rsid w:val="00261652"/>
    <w:pPr>
      <w:keepNext/>
      <w:keepLines/>
      <w:spacing w:before="0" w:line="276" w:lineRule="auto"/>
      <w:ind w:left="0"/>
      <w:outlineLvl w:val="2"/>
    </w:pPr>
    <w:rPr>
      <w:rFonts w:asciiTheme="majorHAnsi" w:hAnsiTheme="majorHAnsi" w:eastAsiaTheme="majorEastAsia" w:cstheme="majorBidi"/>
      <w:iCs/>
      <w:color w:val="0E57C4" w:themeColor="accent4"/>
      <w:szCs w:val="24"/>
    </w:rPr>
  </w:style>
  <w:style w:type="paragraph" w:styleId="Heading4">
    <w:name w:val="heading 4"/>
    <w:basedOn w:val="Normal"/>
    <w:next w:val="Normal"/>
    <w:link w:val="Heading4Char"/>
    <w:autoRedefine/>
    <w:uiPriority w:val="9"/>
    <w:unhideWhenUsed/>
    <w:qFormat/>
    <w:rsid w:val="00261652"/>
    <w:pPr>
      <w:keepNext/>
      <w:keepLines/>
      <w:spacing w:line="276" w:lineRule="auto"/>
      <w:ind w:left="720"/>
      <w:outlineLvl w:val="3"/>
    </w:pPr>
    <w:rPr>
      <w:rFonts w:asciiTheme="majorHAnsi" w:hAnsiTheme="majorHAnsi" w:eastAsiaTheme="majorEastAsia" w:cstheme="majorBidi"/>
      <w:i/>
      <w:color w:val="990033" w:themeColor="accent2"/>
    </w:rPr>
  </w:style>
  <w:style w:type="paragraph" w:styleId="Heading5">
    <w:name w:val="heading 5"/>
    <w:basedOn w:val="Normal"/>
    <w:next w:val="Normal"/>
    <w:link w:val="Heading5Char"/>
    <w:autoRedefine/>
    <w:uiPriority w:val="9"/>
    <w:unhideWhenUsed/>
    <w:qFormat/>
    <w:rsid w:val="000533C4"/>
    <w:pPr>
      <w:keepNext/>
      <w:keepLines/>
      <w:spacing w:before="0"/>
      <w:outlineLvl w:val="4"/>
    </w:pPr>
    <w:rPr>
      <w:rFonts w:asciiTheme="majorHAnsi" w:hAnsiTheme="majorHAnsi" w:eastAsiaTheme="majorEastAsia" w:cstheme="majorBidi"/>
      <w:bCs/>
      <w:i/>
      <w:color w:val="0E57C4" w:themeColor="accent4"/>
    </w:rPr>
  </w:style>
  <w:style w:type="paragraph" w:styleId="Heading6">
    <w:name w:val="heading 6"/>
    <w:basedOn w:val="Normal"/>
    <w:next w:val="Normal"/>
    <w:link w:val="Heading6Char"/>
    <w:autoRedefine/>
    <w:uiPriority w:val="9"/>
    <w:unhideWhenUsed/>
    <w:qFormat/>
    <w:rsid w:val="001D7B03"/>
    <w:pPr>
      <w:keepNext/>
      <w:keepLines/>
      <w:numPr>
        <w:ilvl w:val="5"/>
        <w:numId w:val="1"/>
      </w:numPr>
      <w:outlineLvl w:val="5"/>
    </w:pPr>
    <w:rPr>
      <w:rFonts w:asciiTheme="majorHAnsi" w:hAnsiTheme="majorHAnsi" w:eastAsiaTheme="majorEastAsia" w:cstheme="majorBidi"/>
      <w:b/>
      <w:color w:val="243255" w:themeColor="accent1" w:themeShade="7F"/>
    </w:rPr>
  </w:style>
  <w:style w:type="paragraph" w:styleId="Heading7">
    <w:name w:val="heading 7"/>
    <w:basedOn w:val="Normal"/>
    <w:next w:val="Normal"/>
    <w:link w:val="Heading7Char"/>
    <w:uiPriority w:val="9"/>
    <w:semiHidden/>
    <w:unhideWhenUsed/>
    <w:qFormat/>
    <w:rsid w:val="00565850"/>
    <w:pPr>
      <w:keepNext/>
      <w:keepLines/>
      <w:numPr>
        <w:ilvl w:val="6"/>
        <w:numId w:val="1"/>
      </w:numPr>
      <w:outlineLvl w:val="6"/>
    </w:pPr>
    <w:rPr>
      <w:rFonts w:asciiTheme="majorHAnsi" w:hAnsiTheme="majorHAnsi" w:eastAsiaTheme="majorEastAsia" w:cstheme="majorBidi"/>
      <w:i/>
      <w:iCs/>
      <w:color w:val="243255" w:themeColor="accent1" w:themeShade="7F"/>
    </w:rPr>
  </w:style>
  <w:style w:type="paragraph" w:styleId="Heading8">
    <w:name w:val="heading 8"/>
    <w:basedOn w:val="Normal"/>
    <w:next w:val="Normal"/>
    <w:link w:val="Heading8Char"/>
    <w:uiPriority w:val="9"/>
    <w:semiHidden/>
    <w:unhideWhenUsed/>
    <w:qFormat/>
    <w:rsid w:val="00565850"/>
    <w:pPr>
      <w:keepNext/>
      <w:keepLines/>
      <w:numPr>
        <w:ilvl w:val="7"/>
        <w:numId w:val="1"/>
      </w:numPr>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850"/>
    <w:pPr>
      <w:keepNext/>
      <w:keepLines/>
      <w:numPr>
        <w:ilvl w:val="8"/>
        <w:numId w:val="1"/>
      </w:numPr>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64237"/>
    <w:pPr>
      <w:spacing w:line="240" w:lineRule="auto"/>
    </w:pPr>
    <w:rPr>
      <w:rFonts w:eastAsiaTheme="minorEastAsia"/>
    </w:rPr>
  </w:style>
  <w:style w:type="character" w:styleId="NoSpacingChar" w:customStyle="1">
    <w:name w:val="No Spacing Char"/>
    <w:basedOn w:val="DefaultParagraphFont"/>
    <w:link w:val="NoSpacing"/>
    <w:uiPriority w:val="1"/>
    <w:rsid w:val="00B64237"/>
    <w:rPr>
      <w:rFonts w:eastAsiaTheme="minorEastAsia"/>
    </w:rPr>
  </w:style>
  <w:style w:type="character" w:styleId="Heading1Char" w:customStyle="1">
    <w:name w:val="Heading 1 Char"/>
    <w:basedOn w:val="DefaultParagraphFont"/>
    <w:link w:val="Heading1"/>
    <w:uiPriority w:val="9"/>
    <w:rsid w:val="009940AD"/>
    <w:rPr>
      <w:rFonts w:asciiTheme="majorHAnsi" w:hAnsiTheme="majorHAnsi" w:eastAsiaTheme="majorEastAsia" w:cstheme="majorBidi"/>
      <w:b/>
      <w:color w:val="990033" w:themeColor="accent2"/>
      <w:sz w:val="32"/>
      <w:szCs w:val="32"/>
    </w:rPr>
  </w:style>
  <w:style w:type="character" w:styleId="Heading2Char" w:customStyle="1">
    <w:name w:val="Heading 2 Char"/>
    <w:basedOn w:val="DefaultParagraphFont"/>
    <w:link w:val="Heading2"/>
    <w:uiPriority w:val="9"/>
    <w:rsid w:val="00F85FF3"/>
    <w:rPr>
      <w:rFonts w:asciiTheme="majorHAnsi" w:hAnsiTheme="majorHAnsi" w:eastAsiaTheme="majorEastAsia" w:cstheme="majorBidi"/>
      <w:b/>
      <w:i/>
      <w:color w:val="418551"/>
      <w:sz w:val="28"/>
      <w:szCs w:val="26"/>
    </w:rPr>
  </w:style>
  <w:style w:type="character" w:styleId="Heading3Char" w:customStyle="1">
    <w:name w:val="Heading 3 Char"/>
    <w:basedOn w:val="DefaultParagraphFont"/>
    <w:link w:val="Heading3"/>
    <w:uiPriority w:val="9"/>
    <w:rsid w:val="00261652"/>
    <w:rPr>
      <w:rFonts w:asciiTheme="majorHAnsi" w:hAnsiTheme="majorHAnsi" w:eastAsiaTheme="majorEastAsia" w:cstheme="majorBidi"/>
      <w:iCs/>
      <w:color w:val="0E57C4" w:themeColor="accent4"/>
      <w:sz w:val="24"/>
      <w:szCs w:val="24"/>
    </w:rPr>
  </w:style>
  <w:style w:type="character" w:styleId="Heading4Char" w:customStyle="1">
    <w:name w:val="Heading 4 Char"/>
    <w:basedOn w:val="DefaultParagraphFont"/>
    <w:link w:val="Heading4"/>
    <w:uiPriority w:val="9"/>
    <w:rsid w:val="00261652"/>
    <w:rPr>
      <w:rFonts w:asciiTheme="majorHAnsi" w:hAnsiTheme="majorHAnsi" w:eastAsiaTheme="majorEastAsia" w:cstheme="majorBidi"/>
      <w:i/>
      <w:color w:val="990033" w:themeColor="accent2"/>
      <w:sz w:val="24"/>
    </w:rPr>
  </w:style>
  <w:style w:type="character" w:styleId="Heading5Char" w:customStyle="1">
    <w:name w:val="Heading 5 Char"/>
    <w:basedOn w:val="DefaultParagraphFont"/>
    <w:link w:val="Heading5"/>
    <w:uiPriority w:val="9"/>
    <w:rsid w:val="000533C4"/>
    <w:rPr>
      <w:rFonts w:asciiTheme="majorHAnsi" w:hAnsiTheme="majorHAnsi" w:eastAsiaTheme="majorEastAsia" w:cstheme="majorBidi"/>
      <w:bCs/>
      <w:i/>
      <w:color w:val="0E57C4" w:themeColor="accent4"/>
      <w:sz w:val="24"/>
    </w:rPr>
  </w:style>
  <w:style w:type="character" w:styleId="Heading6Char" w:customStyle="1">
    <w:name w:val="Heading 6 Char"/>
    <w:basedOn w:val="DefaultParagraphFont"/>
    <w:link w:val="Heading6"/>
    <w:uiPriority w:val="9"/>
    <w:rsid w:val="001D7B03"/>
    <w:rPr>
      <w:rFonts w:asciiTheme="majorHAnsi" w:hAnsiTheme="majorHAnsi" w:eastAsiaTheme="majorEastAsia" w:cstheme="majorBidi"/>
      <w:b/>
      <w:color w:val="243255" w:themeColor="accent1" w:themeShade="7F"/>
      <w:sz w:val="24"/>
    </w:rPr>
  </w:style>
  <w:style w:type="character" w:styleId="Heading7Char" w:customStyle="1">
    <w:name w:val="Heading 7 Char"/>
    <w:basedOn w:val="DefaultParagraphFont"/>
    <w:link w:val="Heading7"/>
    <w:uiPriority w:val="9"/>
    <w:semiHidden/>
    <w:rsid w:val="00565850"/>
    <w:rPr>
      <w:rFonts w:asciiTheme="majorHAnsi" w:hAnsiTheme="majorHAnsi" w:eastAsiaTheme="majorEastAsia" w:cstheme="majorBidi"/>
      <w:i/>
      <w:iCs/>
      <w:color w:val="243255" w:themeColor="accent1" w:themeShade="7F"/>
      <w:sz w:val="24"/>
    </w:rPr>
  </w:style>
  <w:style w:type="character" w:styleId="Heading8Char" w:customStyle="1">
    <w:name w:val="Heading 8 Char"/>
    <w:basedOn w:val="DefaultParagraphFont"/>
    <w:link w:val="Heading8"/>
    <w:uiPriority w:val="9"/>
    <w:semiHidden/>
    <w:rsid w:val="0056585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65850"/>
    <w:rPr>
      <w:rFonts w:asciiTheme="majorHAnsi" w:hAnsiTheme="majorHAnsi" w:eastAsiaTheme="majorEastAsia" w:cstheme="majorBidi"/>
      <w:i/>
      <w:iCs/>
      <w:color w:val="272727" w:themeColor="text1" w:themeTint="D8"/>
      <w:sz w:val="21"/>
      <w:szCs w:val="21"/>
    </w:rPr>
  </w:style>
  <w:style w:type="numbering" w:styleId="Style1" w:customStyle="1">
    <w:name w:val="Style1"/>
    <w:uiPriority w:val="99"/>
    <w:rsid w:val="00565850"/>
    <w:pPr>
      <w:numPr>
        <w:numId w:val="2"/>
      </w:numPr>
    </w:pPr>
  </w:style>
  <w:style w:type="paragraph" w:styleId="ListParagraph">
    <w:name w:val="List Paragraph"/>
    <w:basedOn w:val="Normal"/>
    <w:uiPriority w:val="34"/>
    <w:qFormat/>
    <w:rsid w:val="000C2C63"/>
    <w:pPr>
      <w:ind w:left="720"/>
      <w:contextualSpacing/>
    </w:pPr>
  </w:style>
  <w:style w:type="paragraph" w:styleId="Header">
    <w:name w:val="header"/>
    <w:basedOn w:val="Normal"/>
    <w:link w:val="HeaderChar"/>
    <w:uiPriority w:val="99"/>
    <w:unhideWhenUsed/>
    <w:rsid w:val="00C42FE5"/>
    <w:pPr>
      <w:tabs>
        <w:tab w:val="center" w:pos="4680"/>
        <w:tab w:val="right" w:pos="9360"/>
      </w:tabs>
      <w:spacing w:before="0" w:line="240" w:lineRule="auto"/>
    </w:pPr>
  </w:style>
  <w:style w:type="character" w:styleId="HeaderChar" w:customStyle="1">
    <w:name w:val="Header Char"/>
    <w:basedOn w:val="DefaultParagraphFont"/>
    <w:link w:val="Header"/>
    <w:uiPriority w:val="99"/>
    <w:rsid w:val="00C42FE5"/>
    <w:rPr>
      <w:sz w:val="24"/>
    </w:rPr>
  </w:style>
  <w:style w:type="paragraph" w:styleId="Footer">
    <w:name w:val="footer"/>
    <w:basedOn w:val="Normal"/>
    <w:link w:val="FooterChar"/>
    <w:uiPriority w:val="99"/>
    <w:unhideWhenUsed/>
    <w:rsid w:val="00C42FE5"/>
    <w:pPr>
      <w:tabs>
        <w:tab w:val="center" w:pos="4680"/>
        <w:tab w:val="right" w:pos="9360"/>
      </w:tabs>
      <w:spacing w:before="0" w:line="240" w:lineRule="auto"/>
    </w:pPr>
  </w:style>
  <w:style w:type="character" w:styleId="FooterChar" w:customStyle="1">
    <w:name w:val="Footer Char"/>
    <w:basedOn w:val="DefaultParagraphFont"/>
    <w:link w:val="Footer"/>
    <w:uiPriority w:val="99"/>
    <w:rsid w:val="00C42FE5"/>
    <w:rPr>
      <w:sz w:val="24"/>
    </w:rPr>
  </w:style>
  <w:style w:type="paragraph" w:styleId="TOCHeading">
    <w:name w:val="TOC Heading"/>
    <w:basedOn w:val="Heading1"/>
    <w:next w:val="Normal"/>
    <w:uiPriority w:val="39"/>
    <w:unhideWhenUsed/>
    <w:qFormat/>
    <w:rsid w:val="003B205B"/>
    <w:pPr>
      <w:outlineLvl w:val="9"/>
    </w:pPr>
  </w:style>
  <w:style w:type="paragraph" w:styleId="TOC1">
    <w:name w:val="toc 1"/>
    <w:basedOn w:val="Normal"/>
    <w:next w:val="Normal"/>
    <w:autoRedefine/>
    <w:uiPriority w:val="39"/>
    <w:unhideWhenUsed/>
    <w:rsid w:val="00E5551A"/>
    <w:pPr>
      <w:tabs>
        <w:tab w:val="right" w:leader="dot" w:pos="9360"/>
      </w:tabs>
      <w:spacing w:before="0" w:line="240" w:lineRule="auto"/>
      <w:ind w:left="0"/>
    </w:pPr>
    <w:rPr>
      <w:rFonts w:cstheme="minorHAnsi"/>
      <w:bCs/>
      <w:sz w:val="20"/>
      <w:szCs w:val="20"/>
    </w:rPr>
  </w:style>
  <w:style w:type="paragraph" w:styleId="TOC2">
    <w:name w:val="toc 2"/>
    <w:basedOn w:val="Normal"/>
    <w:next w:val="Normal"/>
    <w:autoRedefine/>
    <w:uiPriority w:val="39"/>
    <w:unhideWhenUsed/>
    <w:rsid w:val="00CC5826"/>
    <w:pPr>
      <w:spacing w:before="120"/>
      <w:ind w:left="240"/>
    </w:pPr>
    <w:rPr>
      <w:rFonts w:cstheme="minorHAnsi"/>
      <w:i/>
      <w:iCs/>
      <w:sz w:val="20"/>
      <w:szCs w:val="20"/>
    </w:rPr>
  </w:style>
  <w:style w:type="character" w:styleId="Hyperlink">
    <w:name w:val="Hyperlink"/>
    <w:basedOn w:val="DefaultParagraphFont"/>
    <w:uiPriority w:val="99"/>
    <w:unhideWhenUsed/>
    <w:rsid w:val="003B205B"/>
    <w:rPr>
      <w:color w:val="FF0000" w:themeColor="hyperlink"/>
      <w:u w:val="single"/>
    </w:rPr>
  </w:style>
  <w:style w:type="paragraph" w:styleId="TOC3">
    <w:name w:val="toc 3"/>
    <w:basedOn w:val="Normal"/>
    <w:next w:val="Normal"/>
    <w:autoRedefine/>
    <w:uiPriority w:val="39"/>
    <w:unhideWhenUsed/>
    <w:rsid w:val="003A2779"/>
    <w:pPr>
      <w:spacing w:before="0"/>
      <w:ind w:left="480"/>
    </w:pPr>
    <w:rPr>
      <w:rFonts w:cstheme="minorHAnsi"/>
      <w:sz w:val="20"/>
      <w:szCs w:val="20"/>
    </w:rPr>
  </w:style>
  <w:style w:type="table" w:styleId="TableGrid">
    <w:name w:val="Table Grid"/>
    <w:basedOn w:val="TableNormal"/>
    <w:uiPriority w:val="59"/>
    <w:rsid w:val="00C14B2B"/>
    <w:pPr>
      <w:spacing w:before="0" w:line="240" w:lineRule="auto"/>
      <w:ind w:left="0"/>
    </w:pPr>
    <w:rPr>
      <w:rFonts w:eastAsiaTheme="minorEastAsia"/>
      <w:kern w:val="22"/>
      <w:lang w:eastAsia="ja-JP"/>
      <w14:ligatures w14:val="standar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4">
    <w:name w:val="toc 4"/>
    <w:basedOn w:val="Normal"/>
    <w:next w:val="Normal"/>
    <w:autoRedefine/>
    <w:uiPriority w:val="39"/>
    <w:unhideWhenUsed/>
    <w:rsid w:val="00C149F1"/>
    <w:pPr>
      <w:spacing w:before="0"/>
      <w:ind w:left="720"/>
    </w:pPr>
    <w:rPr>
      <w:rFonts w:cstheme="minorHAnsi"/>
      <w:sz w:val="20"/>
      <w:szCs w:val="20"/>
    </w:rPr>
  </w:style>
  <w:style w:type="paragraph" w:styleId="TOC5">
    <w:name w:val="toc 5"/>
    <w:basedOn w:val="Normal"/>
    <w:next w:val="Normal"/>
    <w:autoRedefine/>
    <w:uiPriority w:val="39"/>
    <w:unhideWhenUsed/>
    <w:rsid w:val="00C149F1"/>
    <w:pPr>
      <w:spacing w:before="0"/>
      <w:ind w:left="960"/>
    </w:pPr>
    <w:rPr>
      <w:rFonts w:cstheme="minorHAnsi"/>
      <w:sz w:val="20"/>
      <w:szCs w:val="20"/>
    </w:rPr>
  </w:style>
  <w:style w:type="paragraph" w:styleId="Default" w:customStyle="1">
    <w:name w:val="Default"/>
    <w:rsid w:val="00021920"/>
    <w:pPr>
      <w:autoSpaceDE w:val="0"/>
      <w:autoSpaceDN w:val="0"/>
      <w:adjustRightInd w:val="0"/>
      <w:spacing w:before="0" w:line="240" w:lineRule="auto"/>
      <w:ind w:left="0"/>
    </w:pPr>
    <w:rPr>
      <w:rFonts w:ascii="Garamond" w:hAnsi="Garamond" w:cs="Garamond"/>
      <w:color w:val="000000"/>
      <w:sz w:val="24"/>
      <w:szCs w:val="24"/>
    </w:rPr>
  </w:style>
  <w:style w:type="paragraph" w:styleId="TOC6">
    <w:name w:val="toc 6"/>
    <w:basedOn w:val="Normal"/>
    <w:next w:val="Normal"/>
    <w:autoRedefine/>
    <w:uiPriority w:val="39"/>
    <w:unhideWhenUsed/>
    <w:rsid w:val="00416800"/>
    <w:pPr>
      <w:spacing w:before="0"/>
      <w:ind w:left="1200"/>
    </w:pPr>
    <w:rPr>
      <w:rFonts w:cstheme="minorHAnsi"/>
      <w:sz w:val="20"/>
      <w:szCs w:val="20"/>
    </w:rPr>
  </w:style>
  <w:style w:type="character" w:styleId="UnresolvedMention">
    <w:name w:val="Unresolved Mention"/>
    <w:basedOn w:val="DefaultParagraphFont"/>
    <w:uiPriority w:val="99"/>
    <w:semiHidden/>
    <w:unhideWhenUsed/>
    <w:rsid w:val="00AD479B"/>
    <w:rPr>
      <w:color w:val="808080"/>
      <w:shd w:val="clear" w:color="auto" w:fill="E6E6E6"/>
    </w:rPr>
  </w:style>
  <w:style w:type="paragraph" w:styleId="BalloonText">
    <w:name w:val="Balloon Text"/>
    <w:basedOn w:val="Normal"/>
    <w:link w:val="BalloonTextChar"/>
    <w:uiPriority w:val="99"/>
    <w:semiHidden/>
    <w:unhideWhenUsed/>
    <w:rsid w:val="001F32C2"/>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32C2"/>
    <w:rPr>
      <w:rFonts w:ascii="Segoe UI" w:hAnsi="Segoe UI" w:cs="Segoe UI"/>
      <w:sz w:val="18"/>
      <w:szCs w:val="18"/>
    </w:rPr>
  </w:style>
  <w:style w:type="character" w:styleId="IntenseReference">
    <w:name w:val="Intense Reference"/>
    <w:basedOn w:val="DefaultParagraphFont"/>
    <w:uiPriority w:val="32"/>
    <w:qFormat/>
    <w:rsid w:val="00315685"/>
    <w:rPr>
      <w:b/>
      <w:bCs/>
      <w:smallCaps/>
      <w:color w:val="4A66AC" w:themeColor="accent1"/>
      <w:spacing w:val="5"/>
    </w:rPr>
  </w:style>
  <w:style w:type="character" w:styleId="IntenseEmphasis">
    <w:name w:val="Intense Emphasis"/>
    <w:basedOn w:val="DefaultParagraphFont"/>
    <w:uiPriority w:val="21"/>
    <w:qFormat/>
    <w:rsid w:val="00315685"/>
    <w:rPr>
      <w:i/>
      <w:iCs/>
      <w:color w:val="4A66AC" w:themeColor="accent1"/>
    </w:rPr>
  </w:style>
  <w:style w:type="paragraph" w:styleId="TOC7">
    <w:name w:val="toc 7"/>
    <w:basedOn w:val="Normal"/>
    <w:next w:val="Normal"/>
    <w:autoRedefine/>
    <w:uiPriority w:val="39"/>
    <w:unhideWhenUsed/>
    <w:rsid w:val="00E5551A"/>
    <w:pPr>
      <w:spacing w:before="0"/>
    </w:pPr>
    <w:rPr>
      <w:rFonts w:cstheme="minorHAnsi"/>
      <w:sz w:val="20"/>
      <w:szCs w:val="20"/>
    </w:rPr>
  </w:style>
  <w:style w:type="paragraph" w:styleId="TOC8">
    <w:name w:val="toc 8"/>
    <w:basedOn w:val="Normal"/>
    <w:next w:val="Normal"/>
    <w:autoRedefine/>
    <w:uiPriority w:val="39"/>
    <w:unhideWhenUsed/>
    <w:rsid w:val="00E5551A"/>
    <w:pPr>
      <w:spacing w:before="0"/>
      <w:ind w:left="1680"/>
    </w:pPr>
    <w:rPr>
      <w:rFonts w:cstheme="minorHAnsi"/>
      <w:sz w:val="20"/>
      <w:szCs w:val="20"/>
    </w:rPr>
  </w:style>
  <w:style w:type="paragraph" w:styleId="TOC9">
    <w:name w:val="toc 9"/>
    <w:basedOn w:val="Normal"/>
    <w:next w:val="Normal"/>
    <w:autoRedefine/>
    <w:uiPriority w:val="39"/>
    <w:unhideWhenUsed/>
    <w:rsid w:val="00E5551A"/>
    <w:pPr>
      <w:spacing w:before="0"/>
      <w:ind w:left="1920"/>
    </w:pPr>
    <w:rPr>
      <w:rFonts w:cstheme="minorHAnsi"/>
      <w:sz w:val="20"/>
      <w:szCs w:val="20"/>
    </w:rPr>
  </w:style>
  <w:style w:type="character" w:styleId="FollowedHyperlink">
    <w:name w:val="FollowedHyperlink"/>
    <w:basedOn w:val="DefaultParagraphFont"/>
    <w:uiPriority w:val="99"/>
    <w:semiHidden/>
    <w:unhideWhenUsed/>
    <w:rsid w:val="00AB47D0"/>
    <w:rPr>
      <w:color w:val="84B2F6" w:themeColor="followedHyperlink"/>
      <w:u w:val="single"/>
    </w:rPr>
  </w:style>
  <w:style w:type="paragraph" w:styleId="Subtitle">
    <w:name w:val="Subtitle"/>
    <w:next w:val="Normal"/>
    <w:link w:val="SubtitleChar"/>
    <w:uiPriority w:val="11"/>
    <w:qFormat/>
    <w:rsid w:val="00C47609"/>
    <w:pPr>
      <w:spacing w:line="276" w:lineRule="auto"/>
      <w:ind w:left="0"/>
    </w:pPr>
    <w:rPr>
      <w:rFonts w:ascii="Calibri" w:hAnsi="Calibri" w:eastAsiaTheme="majorEastAsia" w:cstheme="majorBidi"/>
      <w:color w:val="000000" w:themeColor="text1"/>
      <w:szCs w:val="26"/>
    </w:rPr>
  </w:style>
  <w:style w:type="character" w:styleId="SubtitleChar" w:customStyle="1">
    <w:name w:val="Subtitle Char"/>
    <w:basedOn w:val="DefaultParagraphFont"/>
    <w:link w:val="Subtitle"/>
    <w:uiPriority w:val="11"/>
    <w:rsid w:val="00C47609"/>
    <w:rPr>
      <w:rFonts w:ascii="Calibri" w:hAnsi="Calibri" w:eastAsiaTheme="majorEastAsia" w:cstheme="majorBidi"/>
      <w:color w:val="000000" w:themeColor="text1"/>
      <w:szCs w:val="26"/>
    </w:rPr>
  </w:style>
  <w:style w:type="character" w:styleId="SubtleEmphasis">
    <w:name w:val="Subtle Emphasis"/>
    <w:basedOn w:val="DefaultParagraphFont"/>
    <w:uiPriority w:val="19"/>
    <w:qFormat/>
    <w:rsid w:val="00C47609"/>
    <w:rPr>
      <w:i/>
      <w:iCs/>
      <w:color w:val="404040" w:themeColor="text1" w:themeTint="BF"/>
    </w:rPr>
  </w:style>
  <w:style w:type="paragraph" w:styleId="Quote">
    <w:name w:val="Quote"/>
    <w:basedOn w:val="Normal"/>
    <w:next w:val="Normal"/>
    <w:link w:val="QuoteChar"/>
    <w:uiPriority w:val="29"/>
    <w:qFormat/>
    <w:rsid w:val="005143A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5143AB"/>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gif"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5.png" Id="rId21" /><Relationship Type="http://schemas.openxmlformats.org/officeDocument/2006/relationships/styles" Target="styles.xml" Id="rId7" /><Relationship Type="http://schemas.openxmlformats.org/officeDocument/2006/relationships/hyperlink" Target="mailto:Shawn.stoen@centracare.com" TargetMode="External" Id="rId12"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cwchealthcarecoalitions.org/login/" TargetMode="External"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training.fema.gov/icsresource/icsforms.aspx" TargetMode="External" Id="rId24"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yperlink" Target="https://www.fema.gov/sites/default/files/2020-07/Incident_Action_Planning_Guide_Revision1_august2015.pdf" TargetMode="External" Id="rId23" /><Relationship Type="http://schemas.openxmlformats.org/officeDocument/2006/relationships/footnotes" Target="foot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hawn.stoen@centracare.com" TargetMode="External" Id="rId14" /><Relationship Type="http://schemas.openxmlformats.org/officeDocument/2006/relationships/hyperlink" Target="https://training.fema.gov/icsresource/icsforms.aspx" TargetMode="External" Id="rId22" /><Relationship Type="http://schemas.openxmlformats.org/officeDocument/2006/relationships/theme" Target="theme/theme1.xml" Id="rId27" /><Relationship Type="http://schemas.openxmlformats.org/officeDocument/2006/relationships/hyperlink" Target="file:///G:\CathyHockertProjects\2019MetroRegion%20ResponsePlan\Robert%20T.%20Stafford%20Disaster%20Relief%20and%20Emergency%20Assistance%20Act" TargetMode="External" Id="Rc868b6f0317e454c" /><Relationship Type="http://schemas.openxmlformats.org/officeDocument/2006/relationships/hyperlink" Target="https://www.fema.gov/media-library/assets/documents/25512" TargetMode="External" Id="Rca17c2503c054fa6" /><Relationship Type="http://schemas.openxmlformats.org/officeDocument/2006/relationships/glossaryDocument" Target="glossary/document.xml" Id="R2e6c4718f5c744e2" /><Relationship Type="http://schemas.microsoft.com/office/2019/09/relationships/intelligence" Target="intelligence.xml" Id="R521710268a2540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40e10d-a78a-430d-b7d8-839b2a86dba8}"/>
      </w:docPartPr>
      <w:docPartBody>
        <w:p w14:paraId="137563F9">
          <w:r>
            <w:rPr>
              <w:rStyle w:val="PlaceholderText"/>
            </w:rPr>
            <w:t/>
          </w:r>
        </w:p>
      </w:docPartBody>
    </w:docPart>
  </w:docParts>
</w:glossaryDocument>
</file>

<file path=word/theme/theme1.xml><?xml version="1.0" encoding="utf-8"?>
<a:theme xmlns:a="http://schemas.openxmlformats.org/drawingml/2006/main" name="Office Theme">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RESPONSE PLAN</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E6FDB2-38ED-4C43-858C-1B1485D4AC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4E08A8-28A2-4E98-A50C-6C45AD8B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7DE00-C870-4B74-B41E-340123EFE060}">
  <ds:schemaRefs>
    <ds:schemaRef ds:uri="http://schemas.microsoft.com/sharepoint/v3/contenttype/forms"/>
  </ds:schemaRefs>
</ds:datastoreItem>
</file>

<file path=customXml/itemProps5.xml><?xml version="1.0" encoding="utf-8"?>
<ds:datastoreItem xmlns:ds="http://schemas.openxmlformats.org/officeDocument/2006/customXml" ds:itemID="{5F619888-C5CF-4B3E-A044-72945BF2C1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Central MN Health Care Preparedness Coalition</dc:title>
  <dc:subject/>
  <dc:creator>Stoen, Shawn</dc:creator>
  <keywords/>
  <dc:description/>
  <lastModifiedBy>Johnson, Timothy (Tim)</lastModifiedBy>
  <revision>12</revision>
  <dcterms:created xsi:type="dcterms:W3CDTF">2022-05-14T11:27:00.0000000Z</dcterms:created>
  <dcterms:modified xsi:type="dcterms:W3CDTF">2022-05-19T17:31:13.2558219Z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