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5407C15A" w:rsidR="009E7127" w:rsidRPr="005D3B38" w:rsidRDefault="003E5E97"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w:t>
                                    </w:r>
                                    <w:r w:rsidR="004D66A5">
                                      <w:rPr>
                                        <w:sz w:val="40"/>
                                        <w:szCs w:val="40"/>
                                      </w:rPr>
                                      <w:t>2</w:t>
                                    </w:r>
                                    <w:r w:rsidR="0000425E">
                                      <w:rPr>
                                        <w:sz w:val="40"/>
                                        <w:szCs w:val="40"/>
                                      </w:rPr>
                                      <w:t xml:space="preserve"> </w:t>
                                    </w:r>
                                    <w:r w:rsidR="009E7127" w:rsidRPr="005D3B38">
                                      <w:rPr>
                                        <w:sz w:val="40"/>
                                        <w:szCs w:val="40"/>
                                      </w:rPr>
                                      <w:t xml:space="preserve">cmhpc </w:t>
                                    </w:r>
                                    <w:r w:rsidR="004D66A5">
                                      <w:rPr>
                                        <w:sz w:val="40"/>
                                        <w:szCs w:val="40"/>
                                      </w:rPr>
                                      <w:t>pediatric</w:t>
                                    </w:r>
                                    <w:r w:rsidR="009E7127">
                                      <w:rPr>
                                        <w:sz w:val="40"/>
                                        <w:szCs w:val="40"/>
                                      </w:rPr>
                                      <w:t xml:space="preserve"> surge </w:t>
                                    </w:r>
                                    <w:r w:rsidR="0000425E">
                                      <w:rPr>
                                        <w:sz w:val="40"/>
                                        <w:szCs w:val="40"/>
                                      </w:rPr>
                                      <w:t>plan</w:t>
                                    </w:r>
                                  </w:sdtContent>
                                </w:sdt>
                                <w:r w:rsidR="009E7127"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5407C15A" w:rsidR="009E7127" w:rsidRPr="005D3B38" w:rsidRDefault="003E5E97"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w:t>
                              </w:r>
                              <w:r w:rsidR="004D66A5">
                                <w:rPr>
                                  <w:sz w:val="40"/>
                                  <w:szCs w:val="40"/>
                                </w:rPr>
                                <w:t>2</w:t>
                              </w:r>
                              <w:r w:rsidR="0000425E">
                                <w:rPr>
                                  <w:sz w:val="40"/>
                                  <w:szCs w:val="40"/>
                                </w:rPr>
                                <w:t xml:space="preserve"> </w:t>
                              </w:r>
                              <w:r w:rsidR="009E7127" w:rsidRPr="005D3B38">
                                <w:rPr>
                                  <w:sz w:val="40"/>
                                  <w:szCs w:val="40"/>
                                </w:rPr>
                                <w:t xml:space="preserve">cmhpc </w:t>
                              </w:r>
                              <w:r w:rsidR="004D66A5">
                                <w:rPr>
                                  <w:sz w:val="40"/>
                                  <w:szCs w:val="40"/>
                                </w:rPr>
                                <w:t>pediatric</w:t>
                              </w:r>
                              <w:r w:rsidR="009E7127">
                                <w:rPr>
                                  <w:sz w:val="40"/>
                                  <w:szCs w:val="40"/>
                                </w:rPr>
                                <w:t xml:space="preserve"> surge </w:t>
                              </w:r>
                              <w:r w:rsidR="0000425E">
                                <w:rPr>
                                  <w:sz w:val="40"/>
                                  <w:szCs w:val="40"/>
                                </w:rPr>
                                <w:t>plan</w:t>
                              </w:r>
                            </w:sdtContent>
                          </w:sdt>
                          <w:r w:rsidR="009E7127" w:rsidRPr="005D3B38">
                            <w:rPr>
                              <w:sz w:val="40"/>
                              <w:szCs w:val="40"/>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3E5E97"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21A44B62" w14:textId="21DC7D7E" w:rsidR="00824A48"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10303" w:history="1">
            <w:r w:rsidR="00824A48" w:rsidRPr="00F25B1D">
              <w:rPr>
                <w:rStyle w:val="Hyperlink"/>
                <w:rFonts w:ascii="Calibri" w:eastAsia="Calibri" w:hAnsi="Calibri" w:cs="Times New Roman"/>
                <w:b/>
                <w:noProof/>
                <w:lang w:eastAsia="en-US"/>
              </w:rPr>
              <w:t>Scope</w:t>
            </w:r>
            <w:r w:rsidR="00824A48">
              <w:rPr>
                <w:noProof/>
                <w:webHidden/>
              </w:rPr>
              <w:tab/>
            </w:r>
            <w:r w:rsidR="00824A48">
              <w:rPr>
                <w:noProof/>
                <w:webHidden/>
              </w:rPr>
              <w:fldChar w:fldCharType="begin"/>
            </w:r>
            <w:r w:rsidR="00824A48">
              <w:rPr>
                <w:noProof/>
                <w:webHidden/>
              </w:rPr>
              <w:instrText xml:space="preserve"> PAGEREF _Toc103710303 \h </w:instrText>
            </w:r>
            <w:r w:rsidR="00824A48">
              <w:rPr>
                <w:noProof/>
                <w:webHidden/>
              </w:rPr>
            </w:r>
            <w:r w:rsidR="00824A48">
              <w:rPr>
                <w:noProof/>
                <w:webHidden/>
              </w:rPr>
              <w:fldChar w:fldCharType="separate"/>
            </w:r>
            <w:r w:rsidR="00824A48">
              <w:rPr>
                <w:noProof/>
                <w:webHidden/>
              </w:rPr>
              <w:t>3</w:t>
            </w:r>
            <w:r w:rsidR="00824A48">
              <w:rPr>
                <w:noProof/>
                <w:webHidden/>
              </w:rPr>
              <w:fldChar w:fldCharType="end"/>
            </w:r>
          </w:hyperlink>
        </w:p>
        <w:p w14:paraId="36ECBDE1" w14:textId="7F499A1A" w:rsidR="00824A48" w:rsidRDefault="00824A48">
          <w:pPr>
            <w:pStyle w:val="TOC2"/>
            <w:tabs>
              <w:tab w:val="right" w:leader="dot" w:pos="9566"/>
            </w:tabs>
            <w:rPr>
              <w:noProof/>
              <w:kern w:val="0"/>
              <w:sz w:val="22"/>
              <w:lang w:eastAsia="en-US"/>
              <w14:ligatures w14:val="none"/>
            </w:rPr>
          </w:pPr>
          <w:hyperlink w:anchor="_Toc103710304" w:history="1">
            <w:r w:rsidRPr="00F25B1D">
              <w:rPr>
                <w:rStyle w:val="Hyperlink"/>
                <w:rFonts w:ascii="Calibri" w:eastAsia="Calibri" w:hAnsi="Calibri" w:cs="Times New Roman"/>
                <w:b/>
                <w:noProof/>
                <w:lang w:eastAsia="en-US"/>
              </w:rPr>
              <w:t>Risks/Vulnerabilities</w:t>
            </w:r>
            <w:r>
              <w:rPr>
                <w:noProof/>
                <w:webHidden/>
              </w:rPr>
              <w:tab/>
            </w:r>
            <w:r>
              <w:rPr>
                <w:noProof/>
                <w:webHidden/>
              </w:rPr>
              <w:fldChar w:fldCharType="begin"/>
            </w:r>
            <w:r>
              <w:rPr>
                <w:noProof/>
                <w:webHidden/>
              </w:rPr>
              <w:instrText xml:space="preserve"> PAGEREF _Toc103710304 \h </w:instrText>
            </w:r>
            <w:r>
              <w:rPr>
                <w:noProof/>
                <w:webHidden/>
              </w:rPr>
            </w:r>
            <w:r>
              <w:rPr>
                <w:noProof/>
                <w:webHidden/>
              </w:rPr>
              <w:fldChar w:fldCharType="separate"/>
            </w:r>
            <w:r>
              <w:rPr>
                <w:noProof/>
                <w:webHidden/>
              </w:rPr>
              <w:t>3</w:t>
            </w:r>
            <w:r>
              <w:rPr>
                <w:noProof/>
                <w:webHidden/>
              </w:rPr>
              <w:fldChar w:fldCharType="end"/>
            </w:r>
          </w:hyperlink>
        </w:p>
        <w:p w14:paraId="333D31F6" w14:textId="63614203" w:rsidR="00824A48" w:rsidRDefault="00824A48">
          <w:pPr>
            <w:pStyle w:val="TOC2"/>
            <w:tabs>
              <w:tab w:val="right" w:leader="dot" w:pos="9566"/>
            </w:tabs>
            <w:rPr>
              <w:noProof/>
              <w:kern w:val="0"/>
              <w:sz w:val="22"/>
              <w:lang w:eastAsia="en-US"/>
              <w14:ligatures w14:val="none"/>
            </w:rPr>
          </w:pPr>
          <w:hyperlink w:anchor="_Toc103710305" w:history="1">
            <w:r w:rsidRPr="00F25B1D">
              <w:rPr>
                <w:rStyle w:val="Hyperlink"/>
                <w:rFonts w:ascii="Calibri" w:eastAsia="Calibri" w:hAnsi="Calibri" w:cs="Times New Roman"/>
                <w:b/>
                <w:noProof/>
              </w:rPr>
              <w:t>Access and Functional Needs</w:t>
            </w:r>
            <w:r>
              <w:rPr>
                <w:noProof/>
                <w:webHidden/>
              </w:rPr>
              <w:tab/>
            </w:r>
            <w:r>
              <w:rPr>
                <w:noProof/>
                <w:webHidden/>
              </w:rPr>
              <w:fldChar w:fldCharType="begin"/>
            </w:r>
            <w:r>
              <w:rPr>
                <w:noProof/>
                <w:webHidden/>
              </w:rPr>
              <w:instrText xml:space="preserve"> PAGEREF _Toc103710305 \h </w:instrText>
            </w:r>
            <w:r>
              <w:rPr>
                <w:noProof/>
                <w:webHidden/>
              </w:rPr>
            </w:r>
            <w:r>
              <w:rPr>
                <w:noProof/>
                <w:webHidden/>
              </w:rPr>
              <w:fldChar w:fldCharType="separate"/>
            </w:r>
            <w:r>
              <w:rPr>
                <w:noProof/>
                <w:webHidden/>
              </w:rPr>
              <w:t>5</w:t>
            </w:r>
            <w:r>
              <w:rPr>
                <w:noProof/>
                <w:webHidden/>
              </w:rPr>
              <w:fldChar w:fldCharType="end"/>
            </w:r>
          </w:hyperlink>
        </w:p>
        <w:p w14:paraId="4DB2804F" w14:textId="6C111AAC" w:rsidR="00824A48" w:rsidRDefault="00824A48">
          <w:pPr>
            <w:pStyle w:val="TOC3"/>
            <w:tabs>
              <w:tab w:val="right" w:leader="dot" w:pos="9566"/>
            </w:tabs>
            <w:rPr>
              <w:noProof/>
              <w:kern w:val="0"/>
              <w:sz w:val="22"/>
              <w:lang w:eastAsia="en-US"/>
              <w14:ligatures w14:val="none"/>
            </w:rPr>
          </w:pPr>
          <w:hyperlink w:anchor="_Toc103710306" w:history="1">
            <w:r w:rsidRPr="00F25B1D">
              <w:rPr>
                <w:rStyle w:val="Hyperlink"/>
                <w:rFonts w:ascii="Calibri" w:eastAsia="Times New Roman" w:hAnsi="Calibri" w:cs="Calibri"/>
                <w:b/>
                <w:noProof/>
              </w:rPr>
              <w:t>Estimated disabilities</w:t>
            </w:r>
            <w:r>
              <w:rPr>
                <w:noProof/>
                <w:webHidden/>
              </w:rPr>
              <w:tab/>
            </w:r>
            <w:r>
              <w:rPr>
                <w:noProof/>
                <w:webHidden/>
              </w:rPr>
              <w:fldChar w:fldCharType="begin"/>
            </w:r>
            <w:r>
              <w:rPr>
                <w:noProof/>
                <w:webHidden/>
              </w:rPr>
              <w:instrText xml:space="preserve"> PAGEREF _Toc103710306 \h </w:instrText>
            </w:r>
            <w:r>
              <w:rPr>
                <w:noProof/>
                <w:webHidden/>
              </w:rPr>
            </w:r>
            <w:r>
              <w:rPr>
                <w:noProof/>
                <w:webHidden/>
              </w:rPr>
              <w:fldChar w:fldCharType="separate"/>
            </w:r>
            <w:r>
              <w:rPr>
                <w:noProof/>
                <w:webHidden/>
              </w:rPr>
              <w:t>5</w:t>
            </w:r>
            <w:r>
              <w:rPr>
                <w:noProof/>
                <w:webHidden/>
              </w:rPr>
              <w:fldChar w:fldCharType="end"/>
            </w:r>
          </w:hyperlink>
        </w:p>
        <w:p w14:paraId="53F13DA6" w14:textId="0EA71668" w:rsidR="00824A48" w:rsidRDefault="00824A48">
          <w:pPr>
            <w:pStyle w:val="TOC2"/>
            <w:tabs>
              <w:tab w:val="right" w:leader="dot" w:pos="9566"/>
            </w:tabs>
            <w:rPr>
              <w:noProof/>
              <w:kern w:val="0"/>
              <w:sz w:val="22"/>
              <w:lang w:eastAsia="en-US"/>
              <w14:ligatures w14:val="none"/>
            </w:rPr>
          </w:pPr>
          <w:hyperlink w:anchor="_Toc103710307" w:history="1">
            <w:r w:rsidRPr="00F25B1D">
              <w:rPr>
                <w:rStyle w:val="Hyperlink"/>
                <w:rFonts w:ascii="Calibri" w:eastAsia="Calibri" w:hAnsi="Calibri" w:cs="Times New Roman"/>
                <w:b/>
                <w:noProof/>
              </w:rPr>
              <w:t>Pediatric Plan Activation</w:t>
            </w:r>
            <w:r>
              <w:rPr>
                <w:noProof/>
                <w:webHidden/>
              </w:rPr>
              <w:tab/>
            </w:r>
            <w:r>
              <w:rPr>
                <w:noProof/>
                <w:webHidden/>
              </w:rPr>
              <w:fldChar w:fldCharType="begin"/>
            </w:r>
            <w:r>
              <w:rPr>
                <w:noProof/>
                <w:webHidden/>
              </w:rPr>
              <w:instrText xml:space="preserve"> PAGEREF _Toc103710307 \h </w:instrText>
            </w:r>
            <w:r>
              <w:rPr>
                <w:noProof/>
                <w:webHidden/>
              </w:rPr>
            </w:r>
            <w:r>
              <w:rPr>
                <w:noProof/>
                <w:webHidden/>
              </w:rPr>
              <w:fldChar w:fldCharType="separate"/>
            </w:r>
            <w:r>
              <w:rPr>
                <w:noProof/>
                <w:webHidden/>
              </w:rPr>
              <w:t>5</w:t>
            </w:r>
            <w:r>
              <w:rPr>
                <w:noProof/>
                <w:webHidden/>
              </w:rPr>
              <w:fldChar w:fldCharType="end"/>
            </w:r>
          </w:hyperlink>
        </w:p>
        <w:p w14:paraId="68D6F92C" w14:textId="338C3246" w:rsidR="00824A48" w:rsidRDefault="00824A48">
          <w:pPr>
            <w:pStyle w:val="TOC2"/>
            <w:tabs>
              <w:tab w:val="right" w:leader="dot" w:pos="9566"/>
            </w:tabs>
            <w:rPr>
              <w:noProof/>
              <w:kern w:val="0"/>
              <w:sz w:val="22"/>
              <w:lang w:eastAsia="en-US"/>
              <w14:ligatures w14:val="none"/>
            </w:rPr>
          </w:pPr>
          <w:hyperlink w:anchor="_Toc103710308" w:history="1">
            <w:r w:rsidRPr="00F25B1D">
              <w:rPr>
                <w:rStyle w:val="Hyperlink"/>
                <w:rFonts w:ascii="Calibri" w:eastAsia="Calibri" w:hAnsi="Calibri" w:cs="Times New Roman"/>
                <w:b/>
                <w:noProof/>
                <w:lang w:eastAsia="en-US"/>
              </w:rPr>
              <w:t>Pediatric Plan - Roles and Responsibilities</w:t>
            </w:r>
            <w:r>
              <w:rPr>
                <w:noProof/>
                <w:webHidden/>
              </w:rPr>
              <w:tab/>
            </w:r>
            <w:r>
              <w:rPr>
                <w:noProof/>
                <w:webHidden/>
              </w:rPr>
              <w:fldChar w:fldCharType="begin"/>
            </w:r>
            <w:r>
              <w:rPr>
                <w:noProof/>
                <w:webHidden/>
              </w:rPr>
              <w:instrText xml:space="preserve"> PAGEREF _Toc103710308 \h </w:instrText>
            </w:r>
            <w:r>
              <w:rPr>
                <w:noProof/>
                <w:webHidden/>
              </w:rPr>
            </w:r>
            <w:r>
              <w:rPr>
                <w:noProof/>
                <w:webHidden/>
              </w:rPr>
              <w:fldChar w:fldCharType="separate"/>
            </w:r>
            <w:r>
              <w:rPr>
                <w:noProof/>
                <w:webHidden/>
              </w:rPr>
              <w:t>6</w:t>
            </w:r>
            <w:r>
              <w:rPr>
                <w:noProof/>
                <w:webHidden/>
              </w:rPr>
              <w:fldChar w:fldCharType="end"/>
            </w:r>
          </w:hyperlink>
        </w:p>
        <w:p w14:paraId="1A21EE18" w14:textId="0FA6D71E" w:rsidR="00824A48" w:rsidRDefault="00824A48">
          <w:pPr>
            <w:pStyle w:val="TOC3"/>
            <w:tabs>
              <w:tab w:val="right" w:leader="dot" w:pos="9566"/>
            </w:tabs>
            <w:rPr>
              <w:noProof/>
              <w:kern w:val="0"/>
              <w:sz w:val="22"/>
              <w:lang w:eastAsia="en-US"/>
              <w14:ligatures w14:val="none"/>
            </w:rPr>
          </w:pPr>
          <w:hyperlink w:anchor="_Toc103710309" w:history="1">
            <w:r w:rsidRPr="00F25B1D">
              <w:rPr>
                <w:rStyle w:val="Hyperlink"/>
                <w:rFonts w:ascii="Calibri" w:eastAsia="Times New Roman" w:hAnsi="Calibri" w:cs="Calibri"/>
                <w:b/>
                <w:noProof/>
                <w:lang w:eastAsia="en-US" w:bidi="en-US"/>
              </w:rPr>
              <w:t>Initial Receiving Hospital/Health Care Facility</w:t>
            </w:r>
            <w:r>
              <w:rPr>
                <w:noProof/>
                <w:webHidden/>
              </w:rPr>
              <w:tab/>
            </w:r>
            <w:r>
              <w:rPr>
                <w:noProof/>
                <w:webHidden/>
              </w:rPr>
              <w:fldChar w:fldCharType="begin"/>
            </w:r>
            <w:r>
              <w:rPr>
                <w:noProof/>
                <w:webHidden/>
              </w:rPr>
              <w:instrText xml:space="preserve"> PAGEREF _Toc103710309 \h </w:instrText>
            </w:r>
            <w:r>
              <w:rPr>
                <w:noProof/>
                <w:webHidden/>
              </w:rPr>
            </w:r>
            <w:r>
              <w:rPr>
                <w:noProof/>
                <w:webHidden/>
              </w:rPr>
              <w:fldChar w:fldCharType="separate"/>
            </w:r>
            <w:r>
              <w:rPr>
                <w:noProof/>
                <w:webHidden/>
              </w:rPr>
              <w:t>6</w:t>
            </w:r>
            <w:r>
              <w:rPr>
                <w:noProof/>
                <w:webHidden/>
              </w:rPr>
              <w:fldChar w:fldCharType="end"/>
            </w:r>
          </w:hyperlink>
        </w:p>
        <w:p w14:paraId="22B7D1C8" w14:textId="246719E7" w:rsidR="00824A48" w:rsidRDefault="00824A48">
          <w:pPr>
            <w:pStyle w:val="TOC3"/>
            <w:tabs>
              <w:tab w:val="right" w:leader="dot" w:pos="9566"/>
            </w:tabs>
            <w:rPr>
              <w:noProof/>
              <w:kern w:val="0"/>
              <w:sz w:val="22"/>
              <w:lang w:eastAsia="en-US"/>
              <w14:ligatures w14:val="none"/>
            </w:rPr>
          </w:pPr>
          <w:hyperlink w:anchor="_Toc103710310" w:history="1">
            <w:r w:rsidRPr="00F25B1D">
              <w:rPr>
                <w:rStyle w:val="Hyperlink"/>
                <w:rFonts w:ascii="Calibri" w:eastAsia="Times New Roman" w:hAnsi="Calibri" w:cs="Calibri"/>
                <w:b/>
                <w:noProof/>
                <w:lang w:eastAsia="en-US"/>
              </w:rPr>
              <w:t>Designated Pediatric Trauma Center</w:t>
            </w:r>
            <w:r>
              <w:rPr>
                <w:noProof/>
                <w:webHidden/>
              </w:rPr>
              <w:tab/>
            </w:r>
            <w:r>
              <w:rPr>
                <w:noProof/>
                <w:webHidden/>
              </w:rPr>
              <w:fldChar w:fldCharType="begin"/>
            </w:r>
            <w:r>
              <w:rPr>
                <w:noProof/>
                <w:webHidden/>
              </w:rPr>
              <w:instrText xml:space="preserve"> PAGEREF _Toc103710310 \h </w:instrText>
            </w:r>
            <w:r>
              <w:rPr>
                <w:noProof/>
                <w:webHidden/>
              </w:rPr>
            </w:r>
            <w:r>
              <w:rPr>
                <w:noProof/>
                <w:webHidden/>
              </w:rPr>
              <w:fldChar w:fldCharType="separate"/>
            </w:r>
            <w:r>
              <w:rPr>
                <w:noProof/>
                <w:webHidden/>
              </w:rPr>
              <w:t>6</w:t>
            </w:r>
            <w:r>
              <w:rPr>
                <w:noProof/>
                <w:webHidden/>
              </w:rPr>
              <w:fldChar w:fldCharType="end"/>
            </w:r>
          </w:hyperlink>
        </w:p>
        <w:p w14:paraId="00F7AEF1" w14:textId="545F0D81" w:rsidR="00824A48" w:rsidRDefault="00824A48">
          <w:pPr>
            <w:pStyle w:val="TOC3"/>
            <w:tabs>
              <w:tab w:val="right" w:leader="dot" w:pos="9566"/>
            </w:tabs>
            <w:rPr>
              <w:noProof/>
              <w:kern w:val="0"/>
              <w:sz w:val="22"/>
              <w:lang w:eastAsia="en-US"/>
              <w14:ligatures w14:val="none"/>
            </w:rPr>
          </w:pPr>
          <w:hyperlink w:anchor="_Toc103710311" w:history="1">
            <w:r w:rsidRPr="00F25B1D">
              <w:rPr>
                <w:rStyle w:val="Hyperlink"/>
                <w:rFonts w:ascii="Calibri" w:eastAsia="Times New Roman" w:hAnsi="Calibri" w:cs="Calibri"/>
                <w:b/>
                <w:noProof/>
                <w:lang w:eastAsia="en-US" w:bidi="en-US"/>
              </w:rPr>
              <w:t>Health Care Coalition</w:t>
            </w:r>
            <w:r>
              <w:rPr>
                <w:noProof/>
                <w:webHidden/>
              </w:rPr>
              <w:tab/>
            </w:r>
            <w:r>
              <w:rPr>
                <w:noProof/>
                <w:webHidden/>
              </w:rPr>
              <w:fldChar w:fldCharType="begin"/>
            </w:r>
            <w:r>
              <w:rPr>
                <w:noProof/>
                <w:webHidden/>
              </w:rPr>
              <w:instrText xml:space="preserve"> PAGEREF _Toc103710311 \h </w:instrText>
            </w:r>
            <w:r>
              <w:rPr>
                <w:noProof/>
                <w:webHidden/>
              </w:rPr>
            </w:r>
            <w:r>
              <w:rPr>
                <w:noProof/>
                <w:webHidden/>
              </w:rPr>
              <w:fldChar w:fldCharType="separate"/>
            </w:r>
            <w:r>
              <w:rPr>
                <w:noProof/>
                <w:webHidden/>
              </w:rPr>
              <w:t>7</w:t>
            </w:r>
            <w:r>
              <w:rPr>
                <w:noProof/>
                <w:webHidden/>
              </w:rPr>
              <w:fldChar w:fldCharType="end"/>
            </w:r>
          </w:hyperlink>
        </w:p>
        <w:p w14:paraId="38FEF964" w14:textId="6C007834" w:rsidR="00824A48" w:rsidRDefault="00824A48">
          <w:pPr>
            <w:pStyle w:val="TOC3"/>
            <w:tabs>
              <w:tab w:val="right" w:leader="dot" w:pos="9566"/>
            </w:tabs>
            <w:rPr>
              <w:noProof/>
              <w:kern w:val="0"/>
              <w:sz w:val="22"/>
              <w:lang w:eastAsia="en-US"/>
              <w14:ligatures w14:val="none"/>
            </w:rPr>
          </w:pPr>
          <w:hyperlink w:anchor="_Toc103710312" w:history="1">
            <w:r w:rsidRPr="00F25B1D">
              <w:rPr>
                <w:rStyle w:val="Hyperlink"/>
                <w:rFonts w:ascii="Calibri" w:eastAsia="Times New Roman" w:hAnsi="Calibri" w:cs="Calibri"/>
                <w:b/>
                <w:noProof/>
                <w:lang w:eastAsia="en-US" w:bidi="en-US"/>
              </w:rPr>
              <w:t>Additional Resources for Pediatric Surge Planning</w:t>
            </w:r>
            <w:r>
              <w:rPr>
                <w:noProof/>
                <w:webHidden/>
              </w:rPr>
              <w:tab/>
            </w:r>
            <w:r>
              <w:rPr>
                <w:noProof/>
                <w:webHidden/>
              </w:rPr>
              <w:fldChar w:fldCharType="begin"/>
            </w:r>
            <w:r>
              <w:rPr>
                <w:noProof/>
                <w:webHidden/>
              </w:rPr>
              <w:instrText xml:space="preserve"> PAGEREF _Toc103710312 \h </w:instrText>
            </w:r>
            <w:r>
              <w:rPr>
                <w:noProof/>
                <w:webHidden/>
              </w:rPr>
            </w:r>
            <w:r>
              <w:rPr>
                <w:noProof/>
                <w:webHidden/>
              </w:rPr>
              <w:fldChar w:fldCharType="separate"/>
            </w:r>
            <w:r>
              <w:rPr>
                <w:noProof/>
                <w:webHidden/>
              </w:rPr>
              <w:t>7</w:t>
            </w:r>
            <w:r>
              <w:rPr>
                <w:noProof/>
                <w:webHidden/>
              </w:rPr>
              <w:fldChar w:fldCharType="end"/>
            </w:r>
          </w:hyperlink>
        </w:p>
        <w:p w14:paraId="41302F5A" w14:textId="28B240C1" w:rsidR="00CA5F09" w:rsidRDefault="006A05E1">
          <w:r>
            <w:fldChar w:fldCharType="end"/>
          </w:r>
        </w:p>
      </w:sdtContent>
    </w:sdt>
    <w:p w14:paraId="6B0156B1" w14:textId="1327FD4B" w:rsidR="009E7127" w:rsidRDefault="009E7127" w:rsidP="00806968">
      <w:pPr>
        <w:pStyle w:val="Heading2"/>
        <w:spacing w:line="360" w:lineRule="auto"/>
      </w:pPr>
    </w:p>
    <w:p w14:paraId="002CA326" w14:textId="4D3B17F2" w:rsidR="00CA5F09" w:rsidRDefault="00CA5F09">
      <w:pPr>
        <w:spacing w:after="240" w:line="252" w:lineRule="auto"/>
        <w:ind w:left="0" w:right="0"/>
        <w:rPr>
          <w:rFonts w:asciiTheme="majorHAnsi" w:eastAsiaTheme="majorEastAsia" w:hAnsiTheme="majorHAnsi" w:cstheme="majorBidi"/>
          <w:caps/>
          <w:color w:val="990033" w:themeColor="accent2"/>
          <w:szCs w:val="24"/>
        </w:rPr>
      </w:pPr>
      <w:r>
        <w:br w:type="page"/>
      </w:r>
    </w:p>
    <w:p w14:paraId="6FB1BD01"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lastRenderedPageBreak/>
        <w:t>This appendix applies to a mass casualty event with many pediatric patients. It is designed to support the Central Minnesota Health Care Preparedness Coalition (CMHPC) response activities by addressing the specific needs of children and the medical care of a pediatric patient. This plan does not replace any existing facility policies or plans. It is designed to support the facility level plans by providing pediatric specific resources and information.</w:t>
      </w:r>
    </w:p>
    <w:p w14:paraId="10ACD497"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Also see the Minnesota Pediatric Surge Plan located on the MDH website at: </w:t>
      </w:r>
      <w:hyperlink r:id="rId12" w:history="1">
        <w:r w:rsidRPr="008B438E">
          <w:rPr>
            <w:rFonts w:ascii="Calibri" w:eastAsia="Calibri" w:hAnsi="Calibri" w:cs="Times New Roman"/>
            <w:color w:val="6B9F25"/>
            <w:kern w:val="0"/>
            <w:sz w:val="22"/>
            <w:u w:val="single"/>
            <w:lang w:eastAsia="en-US" w:bidi="en-US"/>
            <w14:ligatures w14:val="none"/>
          </w:rPr>
          <w:t>https://www.health.state.mn.us</w:t>
        </w:r>
        <w:r w:rsidRPr="008B438E">
          <w:rPr>
            <w:rFonts w:ascii="Calibri" w:eastAsia="Calibri" w:hAnsi="Calibri" w:cs="Times New Roman"/>
            <w:color w:val="6B9F25"/>
            <w:kern w:val="0"/>
            <w:sz w:val="22"/>
            <w:u w:val="single"/>
            <w:lang w:eastAsia="en-US" w:bidi="en-US"/>
            <w14:ligatures w14:val="none"/>
          </w:rPr>
          <w:t>/</w:t>
        </w:r>
        <w:r w:rsidRPr="008B438E">
          <w:rPr>
            <w:rFonts w:ascii="Calibri" w:eastAsia="Calibri" w:hAnsi="Calibri" w:cs="Times New Roman"/>
            <w:color w:val="6B9F25"/>
            <w:kern w:val="0"/>
            <w:sz w:val="22"/>
            <w:u w:val="single"/>
            <w:lang w:eastAsia="en-US" w:bidi="en-US"/>
            <w14:ligatures w14:val="none"/>
          </w:rPr>
          <w:t>communities/ep/surge/pediatric/pedsurgeplan.pdf</w:t>
        </w:r>
      </w:hyperlink>
    </w:p>
    <w:p w14:paraId="516456D5" w14:textId="77777777" w:rsidR="008B438E" w:rsidRPr="008B438E" w:rsidRDefault="008B438E" w:rsidP="00824A48">
      <w:pPr>
        <w:keepNext/>
        <w:keepLines/>
        <w:spacing w:before="240" w:line="276" w:lineRule="auto"/>
        <w:ind w:left="0" w:right="0"/>
        <w:outlineLvl w:val="1"/>
        <w:rPr>
          <w:rFonts w:ascii="Calibri" w:eastAsia="Calibri" w:hAnsi="Calibri" w:cs="Times New Roman"/>
          <w:b/>
          <w:kern w:val="0"/>
          <w:sz w:val="28"/>
          <w:szCs w:val="32"/>
          <w:lang w:eastAsia="en-US"/>
          <w14:ligatures w14:val="none"/>
        </w:rPr>
      </w:pPr>
      <w:bookmarkStart w:id="0" w:name="_Toc99650073"/>
      <w:bookmarkStart w:id="1" w:name="_Toc103710303"/>
      <w:r w:rsidRPr="008B438E">
        <w:rPr>
          <w:rFonts w:ascii="Calibri" w:eastAsia="Calibri" w:hAnsi="Calibri" w:cs="Times New Roman"/>
          <w:b/>
          <w:kern w:val="0"/>
          <w:sz w:val="28"/>
          <w:szCs w:val="32"/>
          <w:lang w:eastAsia="en-US"/>
          <w14:ligatures w14:val="none"/>
        </w:rPr>
        <w:t>Scope</w:t>
      </w:r>
      <w:bookmarkEnd w:id="0"/>
      <w:bookmarkEnd w:id="1"/>
    </w:p>
    <w:p w14:paraId="11640924"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The CMHPC Regional Pediatric Surge Plan is designed to provide the communication processes and the procedure for inter-regional and interstate transfer as related to pediatric patients. This pediatric surge appendix provides a regional framework to support and supplement the MN Statewide Pediatric Surge plan. The Plan is designed to:  </w:t>
      </w:r>
    </w:p>
    <w:p w14:paraId="45BF62CC" w14:textId="77777777" w:rsidR="008B438E" w:rsidRPr="008B438E" w:rsidRDefault="008B438E" w:rsidP="00824A48">
      <w:pPr>
        <w:numPr>
          <w:ilvl w:val="0"/>
          <w:numId w:val="41"/>
        </w:numPr>
        <w:spacing w:before="60" w:after="60" w:line="276" w:lineRule="auto"/>
        <w:ind w:right="0"/>
        <w:contextualSpacing/>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Support safe pediatric transfer decision making </w:t>
      </w:r>
    </w:p>
    <w:p w14:paraId="5A3E1934" w14:textId="77777777" w:rsidR="008B438E" w:rsidRPr="008B438E" w:rsidRDefault="008B438E" w:rsidP="00824A48">
      <w:pPr>
        <w:numPr>
          <w:ilvl w:val="0"/>
          <w:numId w:val="41"/>
        </w:numPr>
        <w:spacing w:before="60" w:after="60" w:line="276" w:lineRule="auto"/>
        <w:ind w:right="0"/>
        <w:contextualSpacing/>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Discuss and identify standardized care guidelines available for facilities </w:t>
      </w:r>
    </w:p>
    <w:p w14:paraId="1B59CBB7" w14:textId="77777777" w:rsidR="008B438E" w:rsidRPr="008B438E" w:rsidRDefault="008B438E" w:rsidP="00824A48">
      <w:pPr>
        <w:numPr>
          <w:ilvl w:val="0"/>
          <w:numId w:val="41"/>
        </w:numPr>
        <w:spacing w:before="60" w:after="60" w:line="276" w:lineRule="auto"/>
        <w:ind w:right="0"/>
        <w:contextualSpacing/>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Provide tools to ensure regional communication processes are in place </w:t>
      </w:r>
    </w:p>
    <w:p w14:paraId="5EE8ED91" w14:textId="77777777" w:rsidR="008B438E" w:rsidRPr="008B438E" w:rsidRDefault="008B438E" w:rsidP="00824A48">
      <w:pPr>
        <w:numPr>
          <w:ilvl w:val="0"/>
          <w:numId w:val="41"/>
        </w:numPr>
        <w:spacing w:before="60" w:after="60" w:line="276" w:lineRule="auto"/>
        <w:ind w:right="0"/>
        <w:contextualSpacing/>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Support the tracking of pediatric patients throughout the incident </w:t>
      </w:r>
    </w:p>
    <w:p w14:paraId="28EEB575" w14:textId="77777777" w:rsidR="008B438E" w:rsidRPr="008B438E" w:rsidRDefault="008B438E" w:rsidP="00824A48">
      <w:pPr>
        <w:numPr>
          <w:ilvl w:val="0"/>
          <w:numId w:val="41"/>
        </w:numPr>
        <w:spacing w:before="60" w:after="60" w:line="276" w:lineRule="auto"/>
        <w:ind w:right="0"/>
        <w:contextualSpacing/>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Identify the pediatric tertiary care centers/specialty care centers </w:t>
      </w:r>
    </w:p>
    <w:p w14:paraId="68B424EA" w14:textId="77777777" w:rsidR="008B438E" w:rsidRPr="008B438E" w:rsidRDefault="008B438E" w:rsidP="00824A48">
      <w:pPr>
        <w:numPr>
          <w:ilvl w:val="0"/>
          <w:numId w:val="41"/>
        </w:numPr>
        <w:spacing w:before="60" w:after="60" w:line="276" w:lineRule="auto"/>
        <w:ind w:right="0"/>
        <w:contextualSpacing/>
        <w:rPr>
          <w:rFonts w:ascii="Calibri" w:eastAsia="Times New Roman" w:hAnsi="Calibri" w:cs="Times New Roman"/>
          <w:kern w:val="0"/>
          <w:sz w:val="22"/>
          <w:lang w:eastAsia="en-US"/>
          <w14:ligatures w14:val="none"/>
        </w:rPr>
      </w:pPr>
      <w:r w:rsidRPr="008B438E">
        <w:rPr>
          <w:rFonts w:ascii="Calibri" w:eastAsia="Times New Roman" w:hAnsi="Calibri" w:cs="Times New Roman"/>
          <w:kern w:val="0"/>
          <w:sz w:val="22"/>
          <w:lang w:eastAsia="en-US" w:bidi="en-US"/>
          <w14:ligatures w14:val="none"/>
        </w:rPr>
        <w:t xml:space="preserve">Assist with the decompression from pediatric tertiary care centers/specialty care centers in order to make additional critical care beds available for acutely ill/injured pediatric patients   </w:t>
      </w:r>
    </w:p>
    <w:p w14:paraId="61F915EC" w14:textId="77777777" w:rsidR="008B438E" w:rsidRPr="008B438E" w:rsidRDefault="008B438E" w:rsidP="00824A48">
      <w:pPr>
        <w:keepNext/>
        <w:keepLines/>
        <w:spacing w:before="240" w:line="276" w:lineRule="auto"/>
        <w:ind w:left="0" w:right="0"/>
        <w:outlineLvl w:val="1"/>
        <w:rPr>
          <w:rFonts w:ascii="Calibri" w:eastAsia="Calibri" w:hAnsi="Calibri" w:cs="Times New Roman"/>
          <w:b/>
          <w:kern w:val="0"/>
          <w:sz w:val="28"/>
          <w:szCs w:val="32"/>
          <w:lang w:eastAsia="en-US"/>
          <w14:ligatures w14:val="none"/>
        </w:rPr>
      </w:pPr>
      <w:bookmarkStart w:id="2" w:name="_Toc99650074"/>
      <w:bookmarkStart w:id="3" w:name="_Toc103710304"/>
      <w:r w:rsidRPr="008B438E">
        <w:rPr>
          <w:rFonts w:ascii="Calibri" w:eastAsia="Calibri" w:hAnsi="Calibri" w:cs="Times New Roman"/>
          <w:b/>
          <w:kern w:val="0"/>
          <w:sz w:val="28"/>
          <w:szCs w:val="32"/>
          <w:lang w:eastAsia="en-US"/>
          <w14:ligatures w14:val="none"/>
        </w:rPr>
        <w:t>Risks/Vulnerabilities</w:t>
      </w:r>
      <w:bookmarkEnd w:id="2"/>
      <w:bookmarkEnd w:id="3"/>
    </w:p>
    <w:p w14:paraId="2BCAF4AC" w14:textId="23706B85"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As of 2018, the total population in the CMHPC region was estimated to be 765,725. Within this, 5.7% are under the age of 5 and 21.6% are under the age of 18. (See CMHPC </w:t>
      </w:r>
      <w:r w:rsidR="00824A48">
        <w:rPr>
          <w:rFonts w:ascii="Calibri" w:eastAsia="Times New Roman" w:hAnsi="Calibri" w:cs="Times New Roman"/>
          <w:kern w:val="0"/>
          <w:sz w:val="22"/>
          <w:lang w:eastAsia="en-US" w:bidi="en-US"/>
          <w14:ligatures w14:val="none"/>
        </w:rPr>
        <w:t xml:space="preserve">Preparedness Plan Appendix 5.4 </w:t>
      </w:r>
      <w:r w:rsidRPr="008B438E">
        <w:rPr>
          <w:rFonts w:ascii="Calibri" w:eastAsia="Times New Roman" w:hAnsi="Calibri" w:cs="Times New Roman"/>
          <w:kern w:val="0"/>
          <w:sz w:val="22"/>
          <w:lang w:eastAsia="en-US" w:bidi="en-US"/>
          <w14:ligatures w14:val="none"/>
        </w:rPr>
        <w:t>Coalition Demographics and Map).  In 2018, there were 9,876 vehicular accidents where at least one school bus was involved. In all there were 603 school buses directly involved in these crashes (</w:t>
      </w:r>
      <w:hyperlink r:id="rId13" w:history="1">
        <w:r w:rsidRPr="008B438E">
          <w:rPr>
            <w:rFonts w:ascii="Calibri" w:eastAsia="Times New Roman" w:hAnsi="Calibri" w:cs="Times New Roman"/>
            <w:color w:val="6B9F25"/>
            <w:kern w:val="0"/>
            <w:szCs w:val="24"/>
            <w:u w:val="single"/>
            <w:lang w:eastAsia="en-US" w:bidi="en-US"/>
            <w14:ligatures w14:val="none"/>
          </w:rPr>
          <w:t>www.dps.mn.gov</w:t>
        </w:r>
      </w:hyperlink>
      <w:r w:rsidRPr="008B438E">
        <w:rPr>
          <w:rFonts w:ascii="Calibri" w:eastAsia="Times New Roman" w:hAnsi="Calibri" w:cs="Times New Roman"/>
          <w:kern w:val="0"/>
          <w:sz w:val="22"/>
          <w:lang w:eastAsia="en-US" w:bidi="en-US"/>
          <w14:ligatures w14:val="none"/>
        </w:rPr>
        <w:t xml:space="preserve">). School buses travel throughout the CMHPC every day and many students rely on bus transportation to get to and from school in addition to school events. </w:t>
      </w:r>
      <w:r w:rsidRPr="008B438E">
        <w:rPr>
          <w:rFonts w:ascii="Calibri" w:eastAsia="Times New Roman" w:hAnsi="Calibri" w:cs="Calibri"/>
          <w:kern w:val="0"/>
          <w:sz w:val="22"/>
          <w:lang w:eastAsia="en-US" w:bidi="en-US"/>
          <w14:ligatures w14:val="none"/>
        </w:rPr>
        <w:t>The CMHPC has 19 hospitals within the region and a</w:t>
      </w:r>
      <w:r w:rsidRPr="008B438E">
        <w:rPr>
          <w:rFonts w:ascii="Calibri" w:eastAsia="Times New Roman" w:hAnsi="Calibri" w:cs="Times New Roman"/>
          <w:kern w:val="0"/>
          <w:sz w:val="22"/>
          <w:lang w:eastAsia="en-US" w:bidi="en-US"/>
          <w14:ligatures w14:val="none"/>
        </w:rPr>
        <w:t xml:space="preserve">n event that impacts the regions pediatric population would have a major impact on the ability of health care services to provide care.  With a pediatric population of approximately 216,000 in the region and the limited amount of health care resources, the regions facilities will be very reliant upon the neighboring health care facilities as well as the pediatric specialty facilities in the state.  Depending on the location, transport time could be lengthy.  </w:t>
      </w:r>
    </w:p>
    <w:p w14:paraId="24194094"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The table below (2018 data) identifies the number of pediatric specific resources available at each facility:</w:t>
      </w:r>
    </w:p>
    <w:tbl>
      <w:tblPr>
        <w:tblStyle w:val="GridTable4-Accent3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260"/>
        <w:gridCol w:w="981"/>
        <w:gridCol w:w="1080"/>
        <w:gridCol w:w="2430"/>
      </w:tblGrid>
      <w:tr w:rsidR="008B438E" w:rsidRPr="008B438E" w14:paraId="562BECE8" w14:textId="77777777" w:rsidTr="00824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tcBorders>
              <w:top w:val="none" w:sz="0" w:space="0" w:color="auto"/>
              <w:left w:val="none" w:sz="0" w:space="0" w:color="auto"/>
              <w:bottom w:val="none" w:sz="0" w:space="0" w:color="auto"/>
              <w:right w:val="none" w:sz="0" w:space="0" w:color="auto"/>
            </w:tcBorders>
            <w:hideMark/>
          </w:tcPr>
          <w:p w14:paraId="77CF3C4A" w14:textId="77777777" w:rsidR="008B438E" w:rsidRPr="008B438E" w:rsidRDefault="008B438E" w:rsidP="00824A48">
            <w:pPr>
              <w:spacing w:after="0"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Name of Facility</w:t>
            </w:r>
          </w:p>
        </w:tc>
        <w:tc>
          <w:tcPr>
            <w:tcW w:w="1260" w:type="dxa"/>
            <w:tcBorders>
              <w:top w:val="none" w:sz="0" w:space="0" w:color="auto"/>
              <w:left w:val="none" w:sz="0" w:space="0" w:color="auto"/>
              <w:bottom w:val="none" w:sz="0" w:space="0" w:color="auto"/>
              <w:right w:val="none" w:sz="0" w:space="0" w:color="auto"/>
            </w:tcBorders>
            <w:hideMark/>
          </w:tcPr>
          <w:p w14:paraId="6448CA82" w14:textId="77777777" w:rsidR="008B438E" w:rsidRPr="008B438E" w:rsidRDefault="008B438E" w:rsidP="00824A48">
            <w:pPr>
              <w:spacing w:after="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 Pediatric Beds</w:t>
            </w:r>
          </w:p>
        </w:tc>
        <w:tc>
          <w:tcPr>
            <w:tcW w:w="981" w:type="dxa"/>
            <w:tcBorders>
              <w:top w:val="none" w:sz="0" w:space="0" w:color="auto"/>
              <w:left w:val="none" w:sz="0" w:space="0" w:color="auto"/>
              <w:bottom w:val="none" w:sz="0" w:space="0" w:color="auto"/>
              <w:right w:val="none" w:sz="0" w:space="0" w:color="auto"/>
            </w:tcBorders>
            <w:hideMark/>
          </w:tcPr>
          <w:p w14:paraId="578DBF28" w14:textId="77777777" w:rsidR="008B438E" w:rsidRPr="008B438E" w:rsidRDefault="008B438E" w:rsidP="00824A48">
            <w:pPr>
              <w:spacing w:after="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 PICU Beds</w:t>
            </w:r>
          </w:p>
        </w:tc>
        <w:tc>
          <w:tcPr>
            <w:tcW w:w="1080" w:type="dxa"/>
            <w:tcBorders>
              <w:top w:val="none" w:sz="0" w:space="0" w:color="auto"/>
              <w:left w:val="none" w:sz="0" w:space="0" w:color="auto"/>
              <w:bottom w:val="none" w:sz="0" w:space="0" w:color="auto"/>
              <w:right w:val="none" w:sz="0" w:space="0" w:color="auto"/>
            </w:tcBorders>
            <w:hideMark/>
          </w:tcPr>
          <w:p w14:paraId="73EB4AE1" w14:textId="77777777" w:rsidR="008B438E" w:rsidRPr="008B438E" w:rsidRDefault="008B438E" w:rsidP="00824A48">
            <w:pPr>
              <w:spacing w:after="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 NICU Beds</w:t>
            </w:r>
          </w:p>
        </w:tc>
        <w:tc>
          <w:tcPr>
            <w:tcW w:w="2430" w:type="dxa"/>
            <w:tcBorders>
              <w:top w:val="none" w:sz="0" w:space="0" w:color="auto"/>
              <w:left w:val="none" w:sz="0" w:space="0" w:color="auto"/>
              <w:bottom w:val="none" w:sz="0" w:space="0" w:color="auto"/>
              <w:right w:val="none" w:sz="0" w:space="0" w:color="auto"/>
            </w:tcBorders>
            <w:hideMark/>
          </w:tcPr>
          <w:p w14:paraId="24A4826A" w14:textId="77777777" w:rsidR="008B438E" w:rsidRPr="008B438E" w:rsidRDefault="008B438E" w:rsidP="00824A48">
            <w:pPr>
              <w:spacing w:after="0" w:line="276" w:lineRule="auto"/>
              <w:ind w:left="0" w:righ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Pediatricians on staff</w:t>
            </w:r>
          </w:p>
        </w:tc>
      </w:tr>
      <w:tr w:rsidR="008B438E" w:rsidRPr="008B438E" w14:paraId="259EE36C" w14:textId="77777777" w:rsidTr="0082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hideMark/>
          </w:tcPr>
          <w:p w14:paraId="6E2C564C"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First Light (Welia)</w:t>
            </w:r>
          </w:p>
        </w:tc>
        <w:tc>
          <w:tcPr>
            <w:tcW w:w="1260" w:type="dxa"/>
            <w:hideMark/>
          </w:tcPr>
          <w:p w14:paraId="35F78F88"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sidRPr="008B438E">
              <w:rPr>
                <w:rFonts w:ascii="Calibri" w:eastAsia="Times New Roman" w:hAnsi="Calibri" w:cs="Calibri"/>
                <w:b/>
                <w:bCs/>
                <w:sz w:val="20"/>
                <w:szCs w:val="20"/>
              </w:rPr>
              <w:t>1</w:t>
            </w:r>
          </w:p>
        </w:tc>
        <w:tc>
          <w:tcPr>
            <w:tcW w:w="981" w:type="dxa"/>
            <w:hideMark/>
          </w:tcPr>
          <w:p w14:paraId="754A19DD"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1080" w:type="dxa"/>
            <w:hideMark/>
          </w:tcPr>
          <w:p w14:paraId="36CF1BBC"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2430" w:type="dxa"/>
            <w:hideMark/>
          </w:tcPr>
          <w:p w14:paraId="4267DD3A"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r w:rsidR="00824A48" w:rsidRPr="008B438E" w14:paraId="1C9DD3DE" w14:textId="77777777" w:rsidTr="00824A48">
        <w:tc>
          <w:tcPr>
            <w:cnfStyle w:val="001000000000" w:firstRow="0" w:lastRow="0" w:firstColumn="1" w:lastColumn="0" w:oddVBand="0" w:evenVBand="0" w:oddHBand="0" w:evenHBand="0" w:firstRowFirstColumn="0" w:firstRowLastColumn="0" w:lastRowFirstColumn="0" w:lastRowLastColumn="0"/>
            <w:tcW w:w="3433" w:type="dxa"/>
            <w:hideMark/>
          </w:tcPr>
          <w:p w14:paraId="5B87688B"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lastRenderedPageBreak/>
              <w:t>Fairview Lakes</w:t>
            </w:r>
          </w:p>
        </w:tc>
        <w:tc>
          <w:tcPr>
            <w:tcW w:w="1260" w:type="dxa"/>
            <w:hideMark/>
          </w:tcPr>
          <w:p w14:paraId="74C2932E"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4</w:t>
            </w:r>
          </w:p>
        </w:tc>
        <w:tc>
          <w:tcPr>
            <w:tcW w:w="981" w:type="dxa"/>
            <w:hideMark/>
          </w:tcPr>
          <w:p w14:paraId="6795411F"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1080" w:type="dxa"/>
            <w:hideMark/>
          </w:tcPr>
          <w:p w14:paraId="63F03460"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2430" w:type="dxa"/>
            <w:hideMark/>
          </w:tcPr>
          <w:p w14:paraId="11163938"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r w:rsidR="008B438E" w:rsidRPr="008B438E" w14:paraId="23AB877A" w14:textId="77777777" w:rsidTr="0082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hideMark/>
          </w:tcPr>
          <w:p w14:paraId="6DD599CD"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Fairview Northland</w:t>
            </w:r>
          </w:p>
        </w:tc>
        <w:tc>
          <w:tcPr>
            <w:tcW w:w="1260" w:type="dxa"/>
            <w:hideMark/>
          </w:tcPr>
          <w:p w14:paraId="367A497B"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2</w:t>
            </w:r>
          </w:p>
        </w:tc>
        <w:tc>
          <w:tcPr>
            <w:tcW w:w="981" w:type="dxa"/>
            <w:hideMark/>
          </w:tcPr>
          <w:p w14:paraId="0C61BED7"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1080" w:type="dxa"/>
            <w:hideMark/>
          </w:tcPr>
          <w:p w14:paraId="1CE2F8B4"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2430" w:type="dxa"/>
            <w:hideMark/>
          </w:tcPr>
          <w:p w14:paraId="4A6BC684"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r w:rsidR="00824A48" w:rsidRPr="008B438E" w14:paraId="15271BD2" w14:textId="77777777" w:rsidTr="00824A48">
        <w:tc>
          <w:tcPr>
            <w:cnfStyle w:val="001000000000" w:firstRow="0" w:lastRow="0" w:firstColumn="1" w:lastColumn="0" w:oddVBand="0" w:evenVBand="0" w:oddHBand="0" w:evenHBand="0" w:firstRowFirstColumn="0" w:firstRowLastColumn="0" w:lastRowFirstColumn="0" w:lastRowLastColumn="0"/>
            <w:tcW w:w="3433" w:type="dxa"/>
            <w:hideMark/>
          </w:tcPr>
          <w:p w14:paraId="06791EC7"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Melrose Hospital</w:t>
            </w:r>
          </w:p>
        </w:tc>
        <w:tc>
          <w:tcPr>
            <w:tcW w:w="1260" w:type="dxa"/>
            <w:hideMark/>
          </w:tcPr>
          <w:p w14:paraId="6F9E6865"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2</w:t>
            </w:r>
          </w:p>
        </w:tc>
        <w:tc>
          <w:tcPr>
            <w:tcW w:w="981" w:type="dxa"/>
            <w:hideMark/>
          </w:tcPr>
          <w:p w14:paraId="2B17DC0F"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1080" w:type="dxa"/>
            <w:hideMark/>
          </w:tcPr>
          <w:p w14:paraId="4D61FE8B"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2430" w:type="dxa"/>
            <w:hideMark/>
          </w:tcPr>
          <w:p w14:paraId="436F0532"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r w:rsidR="008B438E" w:rsidRPr="008B438E" w14:paraId="093A9E08" w14:textId="77777777" w:rsidTr="0082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hideMark/>
          </w:tcPr>
          <w:p w14:paraId="1862F3CD"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Monticello Hospital</w:t>
            </w:r>
          </w:p>
        </w:tc>
        <w:tc>
          <w:tcPr>
            <w:tcW w:w="1260" w:type="dxa"/>
            <w:hideMark/>
          </w:tcPr>
          <w:p w14:paraId="272FAEE7"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2</w:t>
            </w:r>
          </w:p>
        </w:tc>
        <w:tc>
          <w:tcPr>
            <w:tcW w:w="981" w:type="dxa"/>
            <w:hideMark/>
          </w:tcPr>
          <w:p w14:paraId="6B55ACEE"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1080" w:type="dxa"/>
            <w:hideMark/>
          </w:tcPr>
          <w:p w14:paraId="50D81E92"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2430" w:type="dxa"/>
            <w:hideMark/>
          </w:tcPr>
          <w:p w14:paraId="0E19A77A"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r w:rsidR="00824A48" w:rsidRPr="008B438E" w14:paraId="31934019" w14:textId="77777777" w:rsidTr="00824A48">
        <w:tc>
          <w:tcPr>
            <w:cnfStyle w:val="001000000000" w:firstRow="0" w:lastRow="0" w:firstColumn="1" w:lastColumn="0" w:oddVBand="0" w:evenVBand="0" w:oddHBand="0" w:evenHBand="0" w:firstRowFirstColumn="0" w:firstRowLastColumn="0" w:lastRowFirstColumn="0" w:lastRowLastColumn="0"/>
            <w:tcW w:w="3433" w:type="dxa"/>
            <w:hideMark/>
          </w:tcPr>
          <w:p w14:paraId="28CD60EA"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St. Cloud Hospital</w:t>
            </w:r>
          </w:p>
        </w:tc>
        <w:tc>
          <w:tcPr>
            <w:tcW w:w="1260" w:type="dxa"/>
            <w:hideMark/>
          </w:tcPr>
          <w:p w14:paraId="6A0BB9D6"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14</w:t>
            </w:r>
          </w:p>
        </w:tc>
        <w:tc>
          <w:tcPr>
            <w:tcW w:w="981" w:type="dxa"/>
            <w:hideMark/>
          </w:tcPr>
          <w:p w14:paraId="5EE535DC"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4</w:t>
            </w:r>
          </w:p>
        </w:tc>
        <w:tc>
          <w:tcPr>
            <w:tcW w:w="1080" w:type="dxa"/>
            <w:hideMark/>
          </w:tcPr>
          <w:p w14:paraId="1A502113"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30</w:t>
            </w:r>
          </w:p>
        </w:tc>
        <w:tc>
          <w:tcPr>
            <w:tcW w:w="2430" w:type="dxa"/>
            <w:hideMark/>
          </w:tcPr>
          <w:p w14:paraId="0F119BD0" w14:textId="77777777" w:rsidR="008B438E" w:rsidRPr="008B438E" w:rsidRDefault="008B438E" w:rsidP="00824A48">
            <w:pPr>
              <w:spacing w:line="276" w:lineRule="auto"/>
              <w:ind w:left="0" w:righ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r w:rsidR="008B438E" w:rsidRPr="008B438E" w14:paraId="60EE2CDA" w14:textId="77777777" w:rsidTr="0082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3" w:type="dxa"/>
            <w:hideMark/>
          </w:tcPr>
          <w:p w14:paraId="790EC822" w14:textId="77777777" w:rsidR="008B438E" w:rsidRPr="008B438E" w:rsidRDefault="008B438E" w:rsidP="00824A48">
            <w:pPr>
              <w:spacing w:line="276" w:lineRule="auto"/>
              <w:ind w:left="0" w:right="0"/>
              <w:rPr>
                <w:rFonts w:ascii="Calibri" w:eastAsia="Times New Roman" w:hAnsi="Calibri" w:cs="Calibri"/>
                <w:sz w:val="20"/>
                <w:szCs w:val="20"/>
              </w:rPr>
            </w:pPr>
            <w:r w:rsidRPr="008B438E">
              <w:rPr>
                <w:rFonts w:ascii="Calibri" w:eastAsia="Times New Roman" w:hAnsi="Calibri" w:cs="Calibri"/>
                <w:sz w:val="20"/>
                <w:szCs w:val="20"/>
              </w:rPr>
              <w:t>St. Joseph’s Hospital</w:t>
            </w:r>
          </w:p>
        </w:tc>
        <w:tc>
          <w:tcPr>
            <w:tcW w:w="1260" w:type="dxa"/>
            <w:hideMark/>
          </w:tcPr>
          <w:p w14:paraId="4720C460"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6</w:t>
            </w:r>
          </w:p>
        </w:tc>
        <w:tc>
          <w:tcPr>
            <w:tcW w:w="981" w:type="dxa"/>
            <w:hideMark/>
          </w:tcPr>
          <w:p w14:paraId="4F1A72D0"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1080" w:type="dxa"/>
            <w:hideMark/>
          </w:tcPr>
          <w:p w14:paraId="44B36A88"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0</w:t>
            </w:r>
          </w:p>
        </w:tc>
        <w:tc>
          <w:tcPr>
            <w:tcW w:w="2430" w:type="dxa"/>
            <w:hideMark/>
          </w:tcPr>
          <w:p w14:paraId="320ABC7F" w14:textId="77777777" w:rsidR="008B438E" w:rsidRPr="008B438E" w:rsidRDefault="008B438E" w:rsidP="00824A48">
            <w:pPr>
              <w:spacing w:line="276" w:lineRule="auto"/>
              <w:ind w:left="0" w:right="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sidRPr="008B438E">
              <w:rPr>
                <w:rFonts w:ascii="Calibri" w:eastAsia="Times New Roman" w:hAnsi="Calibri" w:cs="Calibri"/>
                <w:sz w:val="20"/>
                <w:szCs w:val="20"/>
              </w:rPr>
              <w:t>Yes</w:t>
            </w:r>
          </w:p>
        </w:tc>
      </w:tr>
    </w:tbl>
    <w:p w14:paraId="2C3B836F" w14:textId="77777777" w:rsidR="008B438E" w:rsidRPr="008B438E" w:rsidRDefault="008B438E" w:rsidP="00824A48">
      <w:pPr>
        <w:spacing w:before="120" w:line="276" w:lineRule="auto"/>
        <w:rPr>
          <w:rFonts w:ascii="Calibri" w:eastAsia="Times New Roman" w:hAnsi="Calibri" w:cs="Calibri"/>
          <w:sz w:val="22"/>
          <w:lang w:bidi="en-US"/>
        </w:rPr>
      </w:pPr>
      <w:r w:rsidRPr="008B438E">
        <w:rPr>
          <w:rFonts w:ascii="Calibri" w:eastAsia="Times New Roman" w:hAnsi="Calibri" w:cs="Calibri"/>
          <w:sz w:val="22"/>
          <w:lang w:bidi="en-US"/>
        </w:rPr>
        <w:t>*** The remaining facilities in the Central Region do not have pediatric beds***</w:t>
      </w:r>
    </w:p>
    <w:p w14:paraId="022E03CF" w14:textId="2112D460" w:rsidR="008B438E" w:rsidRPr="008B438E" w:rsidRDefault="008B438E" w:rsidP="00824A48">
      <w:pPr>
        <w:spacing w:before="120" w:line="276" w:lineRule="auto"/>
        <w:ind w:left="0" w:right="0"/>
        <w:rPr>
          <w:rFonts w:ascii="Calibri" w:eastAsia="Times New Roman" w:hAnsi="Calibri" w:cs="Times New Roman"/>
          <w:kern w:val="0"/>
          <w:sz w:val="22"/>
          <w:lang w:bidi="en-US"/>
          <w14:ligatures w14:val="none"/>
        </w:rPr>
      </w:pPr>
      <w:r w:rsidRPr="008B438E">
        <w:rPr>
          <w:rFonts w:ascii="Calibri" w:eastAsia="Times New Roman" w:hAnsi="Calibri" w:cs="Calibri"/>
          <w:kern w:val="0"/>
          <w:sz w:val="22"/>
          <w:lang w:bidi="en-US"/>
          <w14:ligatures w14:val="none"/>
        </w:rPr>
        <w:t xml:space="preserve">The Central region has 31 pediatric beds, with many of them at one or two locations. </w:t>
      </w:r>
      <w:r w:rsidRPr="008B438E">
        <w:rPr>
          <w:rFonts w:ascii="Calibri" w:eastAsia="Times New Roman" w:hAnsi="Calibri" w:cs="Times New Roman"/>
          <w:kern w:val="0"/>
          <w:sz w:val="22"/>
          <w:lang w:bidi="en-US"/>
          <w14:ligatures w14:val="none"/>
        </w:rPr>
        <w:t xml:space="preserve">There are </w:t>
      </w:r>
      <w:sdt>
        <w:sdtPr>
          <w:rPr>
            <w:rFonts w:ascii="Calibri" w:eastAsia="Times New Roman" w:hAnsi="Calibri" w:cs="Times New Roman"/>
            <w:kern w:val="0"/>
            <w:sz w:val="22"/>
            <w:lang w:bidi="en-US"/>
            <w14:ligatures w14:val="none"/>
          </w:rPr>
          <w:alias w:val="Insert number of pediatric trauma centers in your region"/>
          <w:tag w:val="Insert number of pediatric trauma centers in your region"/>
          <w:id w:val="-1783180591"/>
          <w:placeholder>
            <w:docPart w:val="D285714AD6A24276B9591BC19193A13E"/>
          </w:placeholder>
        </w:sdtPr>
        <w:sdtContent>
          <w:r w:rsidRPr="008B438E">
            <w:rPr>
              <w:rFonts w:ascii="Calibri" w:eastAsia="Times New Roman" w:hAnsi="Calibri" w:cs="Times New Roman"/>
              <w:kern w:val="0"/>
              <w:sz w:val="22"/>
              <w:lang w:bidi="en-US"/>
              <w14:ligatures w14:val="none"/>
            </w:rPr>
            <w:t>no</w:t>
          </w:r>
        </w:sdtContent>
      </w:sdt>
      <w:r w:rsidRPr="008B438E">
        <w:rPr>
          <w:rFonts w:ascii="Calibri" w:eastAsia="Times New Roman" w:hAnsi="Calibri" w:cs="Times New Roman"/>
          <w:kern w:val="0"/>
          <w:sz w:val="22"/>
          <w:lang w:bidi="en-US"/>
          <w14:ligatures w14:val="none"/>
        </w:rPr>
        <w:t xml:space="preserve"> Pediatric Trauma Centers located within our coalition and St. Cloud Hospital being a level II facility with both a PICU and an NICU would be the closest for many facilities. During a surge event, even this asset may not provide everything needed. </w:t>
      </w:r>
      <w:r w:rsidRPr="008B438E">
        <w:rPr>
          <w:rFonts w:ascii="Calibri" w:eastAsia="Times New Roman" w:hAnsi="Calibri" w:cs="Calibri"/>
          <w:kern w:val="0"/>
          <w:sz w:val="22"/>
          <w:lang w:bidi="en-US"/>
          <w14:ligatures w14:val="none"/>
        </w:rPr>
        <w:t xml:space="preserve">During surge events, other regions will need to assist with appropriate pediatric bed placement. The other regions that could help will be the </w:t>
      </w:r>
      <w:r w:rsidR="00DE44AF">
        <w:rPr>
          <w:rFonts w:ascii="Calibri" w:eastAsia="Times New Roman" w:hAnsi="Calibri" w:cs="Calibri"/>
          <w:kern w:val="0"/>
          <w:sz w:val="22"/>
          <w:lang w:bidi="en-US"/>
          <w14:ligatures w14:val="none"/>
        </w:rPr>
        <w:t>M</w:t>
      </w:r>
      <w:r w:rsidRPr="008B438E">
        <w:rPr>
          <w:rFonts w:ascii="Calibri" w:eastAsia="Times New Roman" w:hAnsi="Calibri" w:cs="Calibri"/>
          <w:kern w:val="0"/>
          <w:sz w:val="22"/>
          <w:lang w:bidi="en-US"/>
          <w14:ligatures w14:val="none"/>
        </w:rPr>
        <w:t xml:space="preserve">etro, </w:t>
      </w:r>
      <w:r w:rsidR="00DE44AF">
        <w:rPr>
          <w:rFonts w:ascii="Calibri" w:eastAsia="Times New Roman" w:hAnsi="Calibri" w:cs="Calibri"/>
          <w:kern w:val="0"/>
          <w:sz w:val="22"/>
          <w:lang w:bidi="en-US"/>
          <w14:ligatures w14:val="none"/>
        </w:rPr>
        <w:t>N</w:t>
      </w:r>
      <w:r w:rsidRPr="008B438E">
        <w:rPr>
          <w:rFonts w:ascii="Calibri" w:eastAsia="Times New Roman" w:hAnsi="Calibri" w:cs="Calibri"/>
          <w:kern w:val="0"/>
          <w:sz w:val="22"/>
          <w:lang w:bidi="en-US"/>
          <w14:ligatures w14:val="none"/>
        </w:rPr>
        <w:t xml:space="preserve">ortheast and </w:t>
      </w:r>
      <w:r w:rsidR="00DE44AF">
        <w:rPr>
          <w:rFonts w:ascii="Calibri" w:eastAsia="Times New Roman" w:hAnsi="Calibri" w:cs="Calibri"/>
          <w:kern w:val="0"/>
          <w:sz w:val="22"/>
          <w:lang w:bidi="en-US"/>
          <w14:ligatures w14:val="none"/>
        </w:rPr>
        <w:t>S</w:t>
      </w:r>
      <w:r w:rsidRPr="008B438E">
        <w:rPr>
          <w:rFonts w:ascii="Calibri" w:eastAsia="Times New Roman" w:hAnsi="Calibri" w:cs="Calibri"/>
          <w:kern w:val="0"/>
          <w:sz w:val="22"/>
          <w:lang w:bidi="en-US"/>
          <w14:ligatures w14:val="none"/>
        </w:rPr>
        <w:t xml:space="preserve">outheast regions, depending on the location of the incident. </w:t>
      </w:r>
      <w:r w:rsidR="00DE44AF">
        <w:rPr>
          <w:rFonts w:ascii="Calibri" w:eastAsia="Times New Roman" w:hAnsi="Calibri" w:cs="Calibri"/>
          <w:kern w:val="0"/>
          <w:sz w:val="22"/>
          <w:lang w:bidi="en-US"/>
          <w14:ligatures w14:val="none"/>
        </w:rPr>
        <w:t>Other areas of support may be in North Dakota.</w:t>
      </w:r>
    </w:p>
    <w:p w14:paraId="3A54BE71" w14:textId="77777777" w:rsidR="008B438E" w:rsidRPr="008B438E" w:rsidRDefault="008B438E" w:rsidP="00824A48">
      <w:pPr>
        <w:spacing w:before="120" w:line="276" w:lineRule="auto"/>
        <w:ind w:left="0" w:right="0"/>
        <w:rPr>
          <w:rFonts w:ascii="Calibri" w:eastAsia="Times New Roman" w:hAnsi="Calibri" w:cs="Calibri"/>
          <w:kern w:val="0"/>
          <w:szCs w:val="24"/>
          <w:lang w:eastAsia="en-US" w:bidi="en-US"/>
          <w14:ligatures w14:val="none"/>
        </w:rPr>
      </w:pPr>
      <w:r w:rsidRPr="008B438E">
        <w:rPr>
          <w:rFonts w:ascii="Calibri" w:eastAsia="Times New Roman" w:hAnsi="Calibri" w:cs="Calibri"/>
          <w:kern w:val="0"/>
          <w:szCs w:val="24"/>
          <w:lang w:eastAsia="en-US" w:bidi="en-US"/>
          <w14:ligatures w14:val="none"/>
        </w:rPr>
        <w:t>The following table identifies additional pediatric centers within the State of Minnesota:</w:t>
      </w:r>
    </w:p>
    <w:tbl>
      <w:tblPr>
        <w:tblStyle w:val="TableGrid2"/>
        <w:tblW w:w="9355" w:type="dxa"/>
        <w:tblLook w:val="04A0" w:firstRow="1" w:lastRow="0" w:firstColumn="1" w:lastColumn="0" w:noHBand="0" w:noVBand="1"/>
      </w:tblPr>
      <w:tblGrid>
        <w:gridCol w:w="1856"/>
        <w:gridCol w:w="4320"/>
        <w:gridCol w:w="3179"/>
      </w:tblGrid>
      <w:tr w:rsidR="008B438E" w:rsidRPr="008B438E" w14:paraId="2D2FF394"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E3DED1"/>
            <w:hideMark/>
          </w:tcPr>
          <w:p w14:paraId="601ACF44" w14:textId="77777777" w:rsidR="008B438E" w:rsidRPr="008B438E" w:rsidRDefault="008B438E" w:rsidP="00824A48">
            <w:pPr>
              <w:spacing w:before="40" w:after="40" w:line="276" w:lineRule="auto"/>
              <w:ind w:left="0" w:right="0"/>
              <w:jc w:val="center"/>
              <w:rPr>
                <w:b/>
                <w:bCs/>
                <w:sz w:val="28"/>
                <w:szCs w:val="28"/>
              </w:rPr>
            </w:pPr>
            <w:r w:rsidRPr="008B438E">
              <w:rPr>
                <w:b/>
                <w:bCs/>
                <w:sz w:val="28"/>
                <w:szCs w:val="28"/>
              </w:rPr>
              <w:t>TRAUMA DESIGNATION</w:t>
            </w:r>
          </w:p>
        </w:tc>
        <w:tc>
          <w:tcPr>
            <w:tcW w:w="4410" w:type="dxa"/>
            <w:tcBorders>
              <w:top w:val="single" w:sz="4" w:space="0" w:color="auto"/>
              <w:left w:val="single" w:sz="4" w:space="0" w:color="auto"/>
              <w:bottom w:val="single" w:sz="4" w:space="0" w:color="auto"/>
              <w:right w:val="single" w:sz="4" w:space="0" w:color="auto"/>
            </w:tcBorders>
            <w:shd w:val="clear" w:color="auto" w:fill="E3DED1"/>
            <w:hideMark/>
          </w:tcPr>
          <w:p w14:paraId="7F8E48DA" w14:textId="77777777" w:rsidR="008B438E" w:rsidRPr="008B438E" w:rsidRDefault="008B438E" w:rsidP="00824A48">
            <w:pPr>
              <w:spacing w:before="40" w:after="40" w:line="276" w:lineRule="auto"/>
              <w:ind w:left="0" w:right="0"/>
              <w:jc w:val="center"/>
              <w:rPr>
                <w:b/>
                <w:bCs/>
                <w:sz w:val="28"/>
                <w:szCs w:val="28"/>
              </w:rPr>
            </w:pPr>
            <w:r w:rsidRPr="008B438E">
              <w:rPr>
                <w:b/>
                <w:bCs/>
                <w:sz w:val="28"/>
                <w:szCs w:val="28"/>
              </w:rPr>
              <w:t>HOSPITAL NAME</w:t>
            </w:r>
          </w:p>
        </w:tc>
        <w:tc>
          <w:tcPr>
            <w:tcW w:w="3240" w:type="dxa"/>
            <w:tcBorders>
              <w:top w:val="single" w:sz="4" w:space="0" w:color="auto"/>
              <w:left w:val="single" w:sz="4" w:space="0" w:color="auto"/>
              <w:bottom w:val="single" w:sz="4" w:space="0" w:color="auto"/>
              <w:right w:val="single" w:sz="4" w:space="0" w:color="auto"/>
            </w:tcBorders>
            <w:shd w:val="clear" w:color="auto" w:fill="E3DED1"/>
            <w:hideMark/>
          </w:tcPr>
          <w:p w14:paraId="108DDBA5" w14:textId="77777777" w:rsidR="008B438E" w:rsidRPr="008B438E" w:rsidRDefault="008B438E" w:rsidP="00824A48">
            <w:pPr>
              <w:spacing w:before="40" w:after="40" w:line="276" w:lineRule="auto"/>
              <w:ind w:left="0" w:right="0"/>
              <w:jc w:val="center"/>
              <w:rPr>
                <w:b/>
                <w:bCs/>
                <w:sz w:val="28"/>
                <w:szCs w:val="28"/>
              </w:rPr>
            </w:pPr>
            <w:r w:rsidRPr="008B438E">
              <w:rPr>
                <w:b/>
                <w:bCs/>
                <w:sz w:val="28"/>
                <w:szCs w:val="28"/>
              </w:rPr>
              <w:t>HCC CONTACT</w:t>
            </w:r>
          </w:p>
        </w:tc>
      </w:tr>
      <w:tr w:rsidR="008B438E" w:rsidRPr="008B438E" w14:paraId="4CBE611A"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3A035CE" w14:textId="77777777" w:rsidR="008B438E" w:rsidRPr="008B438E" w:rsidRDefault="008B438E" w:rsidP="00824A48">
            <w:pPr>
              <w:spacing w:before="40" w:after="40" w:line="276" w:lineRule="auto"/>
              <w:ind w:left="0" w:right="0"/>
              <w:jc w:val="center"/>
              <w:rPr>
                <w:sz w:val="20"/>
                <w:szCs w:val="20"/>
              </w:rPr>
            </w:pPr>
            <w:r w:rsidRPr="008B438E">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hideMark/>
          </w:tcPr>
          <w:p w14:paraId="543CECC9" w14:textId="625E70DB" w:rsidR="008B438E" w:rsidRPr="008B438E" w:rsidRDefault="00DE44AF" w:rsidP="00824A48">
            <w:pPr>
              <w:spacing w:before="40" w:after="40" w:line="276" w:lineRule="auto"/>
              <w:ind w:left="0" w:right="0"/>
              <w:rPr>
                <w:sz w:val="20"/>
                <w:szCs w:val="20"/>
              </w:rPr>
            </w:pPr>
            <w:r w:rsidRPr="008B438E">
              <w:rPr>
                <w:sz w:val="20"/>
                <w:szCs w:val="20"/>
              </w:rPr>
              <w:t>Children</w:t>
            </w:r>
            <w:r>
              <w:rPr>
                <w:sz w:val="20"/>
                <w:szCs w:val="20"/>
              </w:rPr>
              <w:t>’s</w:t>
            </w:r>
            <w:r w:rsidR="008B438E" w:rsidRPr="008B438E">
              <w:rPr>
                <w:sz w:val="20"/>
                <w:szCs w:val="20"/>
              </w:rPr>
              <w:t xml:space="preserve"> of Minnesota, Minneapolis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54C9C4" w14:textId="77777777" w:rsidR="008B438E" w:rsidRPr="008B438E" w:rsidRDefault="008B438E" w:rsidP="00824A48">
            <w:pPr>
              <w:spacing w:before="40" w:after="40" w:line="276" w:lineRule="auto"/>
              <w:ind w:left="0" w:right="0"/>
              <w:jc w:val="center"/>
              <w:rPr>
                <w:sz w:val="20"/>
                <w:szCs w:val="20"/>
              </w:rPr>
            </w:pPr>
            <w:r w:rsidRPr="008B438E">
              <w:rPr>
                <w:sz w:val="20"/>
                <w:szCs w:val="20"/>
              </w:rPr>
              <w:t>Metro Health &amp; Medical Preparedness Coalition</w:t>
            </w:r>
          </w:p>
          <w:p w14:paraId="0FCD2984" w14:textId="77777777" w:rsidR="008B438E" w:rsidRPr="008B438E" w:rsidRDefault="008B438E" w:rsidP="00824A48">
            <w:pPr>
              <w:spacing w:before="40" w:after="40" w:line="276" w:lineRule="auto"/>
              <w:ind w:left="0" w:right="0"/>
              <w:jc w:val="center"/>
              <w:rPr>
                <w:sz w:val="20"/>
                <w:szCs w:val="20"/>
              </w:rPr>
            </w:pPr>
            <w:r w:rsidRPr="008B438E">
              <w:rPr>
                <w:sz w:val="20"/>
                <w:szCs w:val="20"/>
              </w:rPr>
              <w:t>612-873-9911</w:t>
            </w:r>
          </w:p>
        </w:tc>
      </w:tr>
      <w:tr w:rsidR="008B438E" w:rsidRPr="008B438E" w14:paraId="30F4DCD3"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EA00C78" w14:textId="77777777" w:rsidR="008B438E" w:rsidRPr="008B438E" w:rsidRDefault="008B438E" w:rsidP="00824A48">
            <w:pPr>
              <w:spacing w:before="40" w:after="40" w:line="276" w:lineRule="auto"/>
              <w:ind w:left="0" w:right="0"/>
              <w:jc w:val="center"/>
              <w:rPr>
                <w:sz w:val="20"/>
                <w:szCs w:val="20"/>
              </w:rPr>
            </w:pPr>
            <w:r w:rsidRPr="008B438E">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hideMark/>
          </w:tcPr>
          <w:p w14:paraId="1D0B3242" w14:textId="77777777" w:rsidR="008B438E" w:rsidRPr="008B438E" w:rsidRDefault="008B438E" w:rsidP="00824A48">
            <w:pPr>
              <w:spacing w:before="40" w:after="40" w:line="276" w:lineRule="auto"/>
              <w:ind w:left="0" w:right="0"/>
              <w:rPr>
                <w:sz w:val="20"/>
                <w:szCs w:val="20"/>
              </w:rPr>
            </w:pPr>
            <w:r w:rsidRPr="008B438E">
              <w:rPr>
                <w:sz w:val="20"/>
                <w:szCs w:val="20"/>
              </w:rPr>
              <w:t>Hennepin County Medical Children’s Hospital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3DF93" w14:textId="77777777" w:rsidR="008B438E" w:rsidRPr="008B438E" w:rsidRDefault="008B438E" w:rsidP="00824A48">
            <w:pPr>
              <w:spacing w:before="40" w:after="40" w:line="276" w:lineRule="auto"/>
              <w:ind w:left="0" w:right="0"/>
              <w:rPr>
                <w:sz w:val="20"/>
                <w:szCs w:val="20"/>
              </w:rPr>
            </w:pPr>
          </w:p>
        </w:tc>
      </w:tr>
      <w:tr w:rsidR="008B438E" w:rsidRPr="008B438E" w14:paraId="06A44DDD"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3CC85D00" w14:textId="77777777" w:rsidR="008B438E" w:rsidRPr="008B438E" w:rsidRDefault="008B438E" w:rsidP="00824A48">
            <w:pPr>
              <w:spacing w:before="40" w:after="40" w:line="276" w:lineRule="auto"/>
              <w:ind w:left="0" w:right="0"/>
              <w:jc w:val="center"/>
              <w:rPr>
                <w:sz w:val="20"/>
                <w:szCs w:val="20"/>
              </w:rPr>
            </w:pPr>
            <w:r w:rsidRPr="008B438E">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hideMark/>
          </w:tcPr>
          <w:p w14:paraId="6DA49460" w14:textId="77777777" w:rsidR="008B438E" w:rsidRPr="008B438E" w:rsidRDefault="008B438E" w:rsidP="00824A48">
            <w:pPr>
              <w:spacing w:before="40" w:after="40" w:line="276" w:lineRule="auto"/>
              <w:ind w:left="0" w:right="0"/>
              <w:rPr>
                <w:sz w:val="20"/>
                <w:szCs w:val="20"/>
              </w:rPr>
            </w:pPr>
            <w:r w:rsidRPr="008B438E">
              <w:rPr>
                <w:sz w:val="20"/>
                <w:szCs w:val="20"/>
              </w:rPr>
              <w:t>Regions Hospital/Gillette Children’s Specialty Healthcare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D1CBC" w14:textId="77777777" w:rsidR="008B438E" w:rsidRPr="008B438E" w:rsidRDefault="008B438E" w:rsidP="00824A48">
            <w:pPr>
              <w:spacing w:before="40" w:after="40" w:line="276" w:lineRule="auto"/>
              <w:ind w:left="0" w:right="0"/>
              <w:rPr>
                <w:sz w:val="20"/>
                <w:szCs w:val="20"/>
              </w:rPr>
            </w:pPr>
          </w:p>
        </w:tc>
      </w:tr>
      <w:tr w:rsidR="008B438E" w:rsidRPr="008B438E" w14:paraId="0EC7F6B0"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E3DED1"/>
            <w:hideMark/>
          </w:tcPr>
          <w:p w14:paraId="684BCA89" w14:textId="77777777" w:rsidR="008B438E" w:rsidRPr="008B438E" w:rsidRDefault="008B438E" w:rsidP="00824A48">
            <w:pPr>
              <w:spacing w:before="40" w:after="40" w:line="276" w:lineRule="auto"/>
              <w:ind w:left="0" w:right="0"/>
              <w:jc w:val="center"/>
              <w:rPr>
                <w:sz w:val="20"/>
                <w:szCs w:val="20"/>
              </w:rPr>
            </w:pPr>
            <w:r w:rsidRPr="008B438E">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E3DED1"/>
            <w:hideMark/>
          </w:tcPr>
          <w:p w14:paraId="3EA5CCE6" w14:textId="77777777" w:rsidR="008B438E" w:rsidRPr="008B438E" w:rsidRDefault="008B438E" w:rsidP="00824A48">
            <w:pPr>
              <w:spacing w:before="40" w:after="40" w:line="276" w:lineRule="auto"/>
              <w:ind w:left="0" w:right="0"/>
              <w:rPr>
                <w:sz w:val="20"/>
                <w:szCs w:val="20"/>
              </w:rPr>
            </w:pPr>
            <w:r w:rsidRPr="008B438E">
              <w:rPr>
                <w:sz w:val="20"/>
                <w:szCs w:val="20"/>
              </w:rPr>
              <w:t>Mayo Clinic Hospital Eugenio Litta Children’s Hospital</w:t>
            </w:r>
          </w:p>
        </w:tc>
        <w:tc>
          <w:tcPr>
            <w:tcW w:w="3240" w:type="dxa"/>
            <w:tcBorders>
              <w:top w:val="single" w:sz="4" w:space="0" w:color="auto"/>
              <w:left w:val="single" w:sz="4" w:space="0" w:color="auto"/>
              <w:bottom w:val="single" w:sz="4" w:space="0" w:color="auto"/>
              <w:right w:val="single" w:sz="4" w:space="0" w:color="auto"/>
            </w:tcBorders>
            <w:shd w:val="clear" w:color="auto" w:fill="E3DED1"/>
            <w:hideMark/>
          </w:tcPr>
          <w:p w14:paraId="79B2794E" w14:textId="77777777" w:rsidR="008B438E" w:rsidRPr="008B438E" w:rsidRDefault="008B438E" w:rsidP="00824A48">
            <w:pPr>
              <w:spacing w:before="40" w:after="40" w:line="276" w:lineRule="auto"/>
              <w:ind w:left="0" w:right="0"/>
              <w:jc w:val="center"/>
              <w:rPr>
                <w:sz w:val="20"/>
                <w:szCs w:val="20"/>
              </w:rPr>
            </w:pPr>
            <w:r w:rsidRPr="008B438E">
              <w:rPr>
                <w:sz w:val="20"/>
                <w:szCs w:val="20"/>
              </w:rPr>
              <w:t>Southeast Minnesota Disaster Health Coalition</w:t>
            </w:r>
          </w:p>
          <w:p w14:paraId="4EE498CD" w14:textId="77777777" w:rsidR="008B438E" w:rsidRPr="008B438E" w:rsidRDefault="008B438E" w:rsidP="00824A48">
            <w:pPr>
              <w:spacing w:before="40" w:after="40" w:line="276" w:lineRule="auto"/>
              <w:ind w:left="0" w:right="0"/>
              <w:jc w:val="center"/>
              <w:rPr>
                <w:sz w:val="20"/>
                <w:szCs w:val="20"/>
              </w:rPr>
            </w:pPr>
            <w:r w:rsidRPr="008B438E">
              <w:rPr>
                <w:sz w:val="20"/>
                <w:szCs w:val="20"/>
              </w:rPr>
              <w:t>855-606-5458</w:t>
            </w:r>
          </w:p>
          <w:p w14:paraId="32C6C6DE" w14:textId="77777777" w:rsidR="008B438E" w:rsidRPr="008B438E" w:rsidRDefault="008B438E" w:rsidP="00824A48">
            <w:pPr>
              <w:spacing w:before="40" w:after="40" w:line="276" w:lineRule="auto"/>
              <w:ind w:left="0" w:right="0"/>
              <w:jc w:val="center"/>
              <w:rPr>
                <w:sz w:val="20"/>
                <w:szCs w:val="20"/>
              </w:rPr>
            </w:pPr>
            <w:r w:rsidRPr="008B438E">
              <w:rPr>
                <w:sz w:val="20"/>
                <w:szCs w:val="20"/>
              </w:rPr>
              <w:t>507-255-2808</w:t>
            </w:r>
          </w:p>
        </w:tc>
      </w:tr>
      <w:tr w:rsidR="008B438E" w:rsidRPr="008B438E" w14:paraId="57DC6381"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FFFFFF"/>
            <w:hideMark/>
          </w:tcPr>
          <w:p w14:paraId="284F6EB8" w14:textId="77777777" w:rsidR="008B438E" w:rsidRPr="008B438E" w:rsidRDefault="008B438E" w:rsidP="00824A48">
            <w:pPr>
              <w:spacing w:before="40" w:after="40" w:line="276" w:lineRule="auto"/>
              <w:ind w:left="0" w:right="0"/>
              <w:jc w:val="center"/>
              <w:rPr>
                <w:sz w:val="20"/>
                <w:szCs w:val="20"/>
              </w:rPr>
            </w:pPr>
            <w:r w:rsidRPr="008B438E">
              <w:rPr>
                <w:sz w:val="20"/>
                <w:szCs w:val="20"/>
              </w:rPr>
              <w:t>Level I</w:t>
            </w:r>
          </w:p>
        </w:tc>
        <w:tc>
          <w:tcPr>
            <w:tcW w:w="4410" w:type="dxa"/>
            <w:tcBorders>
              <w:top w:val="single" w:sz="4" w:space="0" w:color="auto"/>
              <w:left w:val="single" w:sz="4" w:space="0" w:color="auto"/>
              <w:bottom w:val="single" w:sz="4" w:space="0" w:color="auto"/>
              <w:right w:val="single" w:sz="4" w:space="0" w:color="auto"/>
            </w:tcBorders>
            <w:shd w:val="clear" w:color="auto" w:fill="FFFFFF"/>
            <w:hideMark/>
          </w:tcPr>
          <w:p w14:paraId="0A5745D7" w14:textId="77777777" w:rsidR="008B438E" w:rsidRPr="008B438E" w:rsidRDefault="008B438E" w:rsidP="00824A48">
            <w:pPr>
              <w:spacing w:before="40" w:after="40" w:line="276" w:lineRule="auto"/>
              <w:ind w:left="0" w:right="0"/>
              <w:rPr>
                <w:sz w:val="20"/>
                <w:szCs w:val="20"/>
              </w:rPr>
            </w:pPr>
            <w:r w:rsidRPr="008B438E">
              <w:rPr>
                <w:sz w:val="20"/>
                <w:szCs w:val="20"/>
              </w:rPr>
              <w:t>Essentia Health St. Mary’s Medical Center</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511EF709" w14:textId="77777777" w:rsidR="008B438E" w:rsidRPr="008B438E" w:rsidRDefault="008B438E" w:rsidP="00824A48">
            <w:pPr>
              <w:spacing w:before="40" w:after="40" w:line="276" w:lineRule="auto"/>
              <w:ind w:left="0" w:right="0"/>
              <w:jc w:val="center"/>
              <w:rPr>
                <w:sz w:val="20"/>
                <w:szCs w:val="20"/>
              </w:rPr>
            </w:pPr>
            <w:r w:rsidRPr="008B438E">
              <w:rPr>
                <w:sz w:val="20"/>
                <w:szCs w:val="20"/>
              </w:rPr>
              <w:t>Northeast Healthcare Preparedness Coalition</w:t>
            </w:r>
          </w:p>
          <w:p w14:paraId="2BF7FB5F" w14:textId="77777777" w:rsidR="008B438E" w:rsidRPr="008B438E" w:rsidRDefault="008B438E" w:rsidP="00824A48">
            <w:pPr>
              <w:spacing w:before="40" w:after="40" w:line="276" w:lineRule="auto"/>
              <w:ind w:left="0" w:right="0"/>
              <w:jc w:val="center"/>
              <w:rPr>
                <w:sz w:val="20"/>
                <w:szCs w:val="20"/>
              </w:rPr>
            </w:pPr>
            <w:r w:rsidRPr="008B438E">
              <w:rPr>
                <w:sz w:val="20"/>
                <w:szCs w:val="20"/>
              </w:rPr>
              <w:t>Jo Thompson 218-269-7781</w:t>
            </w:r>
          </w:p>
          <w:p w14:paraId="637342F4" w14:textId="77777777" w:rsidR="008B438E" w:rsidRPr="008B438E" w:rsidRDefault="008B438E" w:rsidP="00824A48">
            <w:pPr>
              <w:spacing w:before="40" w:after="40" w:line="276" w:lineRule="auto"/>
              <w:ind w:left="0" w:right="0"/>
              <w:jc w:val="center"/>
              <w:rPr>
                <w:sz w:val="20"/>
                <w:szCs w:val="20"/>
              </w:rPr>
            </w:pPr>
            <w:r w:rsidRPr="008B438E">
              <w:rPr>
                <w:sz w:val="20"/>
                <w:szCs w:val="20"/>
              </w:rPr>
              <w:t>Adam Shadiow 218-428-3610</w:t>
            </w:r>
          </w:p>
        </w:tc>
      </w:tr>
      <w:tr w:rsidR="008B438E" w:rsidRPr="008B438E" w14:paraId="6797E917" w14:textId="77777777" w:rsidTr="008B438E">
        <w:tc>
          <w:tcPr>
            <w:tcW w:w="1705" w:type="dxa"/>
            <w:tcBorders>
              <w:top w:val="single" w:sz="4" w:space="0" w:color="auto"/>
              <w:left w:val="single" w:sz="4" w:space="0" w:color="auto"/>
              <w:bottom w:val="single" w:sz="4" w:space="0" w:color="auto"/>
              <w:right w:val="single" w:sz="4" w:space="0" w:color="auto"/>
            </w:tcBorders>
            <w:shd w:val="clear" w:color="auto" w:fill="E3DED1"/>
            <w:hideMark/>
          </w:tcPr>
          <w:p w14:paraId="3CE2360A" w14:textId="77777777" w:rsidR="008B438E" w:rsidRPr="008B438E" w:rsidRDefault="008B438E" w:rsidP="00824A48">
            <w:pPr>
              <w:spacing w:before="40" w:after="40" w:line="276" w:lineRule="auto"/>
              <w:ind w:left="0" w:right="0"/>
              <w:jc w:val="center"/>
              <w:rPr>
                <w:sz w:val="20"/>
                <w:szCs w:val="20"/>
              </w:rPr>
            </w:pPr>
            <w:r w:rsidRPr="008B438E">
              <w:rPr>
                <w:sz w:val="20"/>
                <w:szCs w:val="20"/>
              </w:rPr>
              <w:t>Level II</w:t>
            </w:r>
          </w:p>
        </w:tc>
        <w:tc>
          <w:tcPr>
            <w:tcW w:w="4410" w:type="dxa"/>
            <w:tcBorders>
              <w:top w:val="single" w:sz="4" w:space="0" w:color="auto"/>
              <w:left w:val="single" w:sz="4" w:space="0" w:color="auto"/>
              <w:bottom w:val="single" w:sz="4" w:space="0" w:color="auto"/>
              <w:right w:val="single" w:sz="4" w:space="0" w:color="auto"/>
            </w:tcBorders>
            <w:shd w:val="clear" w:color="auto" w:fill="E3DED1"/>
            <w:hideMark/>
          </w:tcPr>
          <w:p w14:paraId="4D3FDFDE" w14:textId="77777777" w:rsidR="008B438E" w:rsidRPr="008B438E" w:rsidRDefault="008B438E" w:rsidP="00824A48">
            <w:pPr>
              <w:spacing w:before="40" w:after="40" w:line="276" w:lineRule="auto"/>
              <w:ind w:left="0" w:right="0"/>
              <w:rPr>
                <w:sz w:val="20"/>
                <w:szCs w:val="20"/>
              </w:rPr>
            </w:pPr>
            <w:r w:rsidRPr="008B438E">
              <w:rPr>
                <w:sz w:val="20"/>
                <w:szCs w:val="20"/>
              </w:rPr>
              <w:t>North Memorial Health Hospital</w:t>
            </w:r>
          </w:p>
        </w:tc>
        <w:tc>
          <w:tcPr>
            <w:tcW w:w="3240" w:type="dxa"/>
            <w:tcBorders>
              <w:top w:val="single" w:sz="4" w:space="0" w:color="auto"/>
              <w:left w:val="single" w:sz="4" w:space="0" w:color="auto"/>
              <w:bottom w:val="single" w:sz="4" w:space="0" w:color="auto"/>
              <w:right w:val="single" w:sz="4" w:space="0" w:color="auto"/>
            </w:tcBorders>
            <w:shd w:val="clear" w:color="auto" w:fill="E3DED1"/>
            <w:hideMark/>
          </w:tcPr>
          <w:p w14:paraId="267C375E" w14:textId="77777777" w:rsidR="008B438E" w:rsidRPr="008B438E" w:rsidRDefault="008B438E" w:rsidP="00824A48">
            <w:pPr>
              <w:spacing w:before="40" w:after="40" w:line="276" w:lineRule="auto"/>
              <w:ind w:left="0" w:right="0"/>
              <w:jc w:val="center"/>
              <w:rPr>
                <w:sz w:val="20"/>
                <w:szCs w:val="20"/>
              </w:rPr>
            </w:pPr>
            <w:r w:rsidRPr="008B438E">
              <w:rPr>
                <w:sz w:val="20"/>
                <w:szCs w:val="20"/>
              </w:rPr>
              <w:t>Metro Health &amp; Medical Preparedness Coalition</w:t>
            </w:r>
          </w:p>
          <w:p w14:paraId="0664E453" w14:textId="77777777" w:rsidR="008B438E" w:rsidRPr="008B438E" w:rsidRDefault="008B438E" w:rsidP="00824A48">
            <w:pPr>
              <w:spacing w:before="40" w:after="40" w:line="276" w:lineRule="auto"/>
              <w:ind w:left="0" w:right="0"/>
              <w:jc w:val="center"/>
              <w:rPr>
                <w:sz w:val="20"/>
                <w:szCs w:val="20"/>
              </w:rPr>
            </w:pPr>
            <w:r w:rsidRPr="008B438E">
              <w:rPr>
                <w:sz w:val="20"/>
                <w:szCs w:val="20"/>
              </w:rPr>
              <w:t>612-873-9911</w:t>
            </w:r>
          </w:p>
        </w:tc>
      </w:tr>
    </w:tbl>
    <w:p w14:paraId="49D60640" w14:textId="77777777" w:rsidR="008B438E" w:rsidRPr="008B438E" w:rsidRDefault="008B438E" w:rsidP="00824A48">
      <w:pPr>
        <w:keepNext/>
        <w:keepLines/>
        <w:spacing w:before="240" w:line="276" w:lineRule="auto"/>
        <w:ind w:left="0" w:right="0"/>
        <w:outlineLvl w:val="1"/>
        <w:rPr>
          <w:rFonts w:ascii="Calibri" w:eastAsia="Calibri" w:hAnsi="Calibri" w:cs="Times New Roman"/>
          <w:b/>
          <w:kern w:val="0"/>
          <w:sz w:val="28"/>
          <w:szCs w:val="32"/>
          <w14:ligatures w14:val="none"/>
        </w:rPr>
      </w:pPr>
      <w:bookmarkStart w:id="4" w:name="_Toc99650075"/>
      <w:bookmarkStart w:id="5" w:name="_Toc103710305"/>
      <w:r w:rsidRPr="008B438E">
        <w:rPr>
          <w:rFonts w:ascii="Calibri" w:eastAsia="Calibri" w:hAnsi="Calibri" w:cs="Times New Roman"/>
          <w:b/>
          <w:kern w:val="0"/>
          <w:sz w:val="28"/>
          <w:szCs w:val="32"/>
          <w14:ligatures w14:val="none"/>
        </w:rPr>
        <w:lastRenderedPageBreak/>
        <w:t>Access and Functional Needs</w:t>
      </w:r>
      <w:bookmarkEnd w:id="4"/>
      <w:bookmarkEnd w:id="5"/>
    </w:p>
    <w:p w14:paraId="32BA987F"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Health care facilities and the coalition consider planning for individuals with Access and Functional needs in all plans. The pediatric population requires special equipment and resources.  A list of available resources for planning and response considerations is provided at the end of this plan. </w:t>
      </w:r>
    </w:p>
    <w:p w14:paraId="3B791269" w14:textId="77777777" w:rsidR="008B438E" w:rsidRPr="008B438E" w:rsidRDefault="008B438E" w:rsidP="00824A48">
      <w:pPr>
        <w:keepNext/>
        <w:spacing w:before="120" w:line="276" w:lineRule="auto"/>
        <w:ind w:left="0" w:right="0"/>
        <w:outlineLvl w:val="2"/>
        <w:rPr>
          <w:rFonts w:ascii="Calibri" w:eastAsia="Times New Roman" w:hAnsi="Calibri" w:cs="Calibri"/>
          <w:b/>
          <w:kern w:val="0"/>
          <w:szCs w:val="24"/>
          <w14:ligatures w14:val="none"/>
        </w:rPr>
      </w:pPr>
      <w:bookmarkStart w:id="6" w:name="_Toc99650076"/>
      <w:bookmarkStart w:id="7" w:name="_Toc103710306"/>
      <w:r w:rsidRPr="008B438E">
        <w:rPr>
          <w:rFonts w:ascii="Calibri" w:eastAsia="Times New Roman" w:hAnsi="Calibri" w:cs="Calibri"/>
          <w:b/>
          <w:kern w:val="0"/>
          <w:szCs w:val="24"/>
          <w14:ligatures w14:val="none"/>
        </w:rPr>
        <w:t>Estimated disabilities</w:t>
      </w:r>
      <w:bookmarkEnd w:id="6"/>
      <w:bookmarkEnd w:id="7"/>
    </w:p>
    <w:p w14:paraId="2EC40A8E" w14:textId="77777777" w:rsidR="008B438E" w:rsidRPr="008B438E" w:rsidRDefault="008B438E" w:rsidP="00824A48">
      <w:pPr>
        <w:spacing w:before="120" w:line="276" w:lineRule="auto"/>
        <w:ind w:left="0" w:right="0"/>
        <w:rPr>
          <w:rFonts w:ascii="Calibri" w:eastAsia="Times New Roman" w:hAnsi="Calibri" w:cs="Times New Roman"/>
          <w:kern w:val="0"/>
          <w:sz w:val="22"/>
          <w14:ligatures w14:val="none"/>
        </w:rPr>
      </w:pPr>
      <w:r w:rsidRPr="008B438E">
        <w:rPr>
          <w:rFonts w:ascii="Calibri" w:eastAsia="Times New Roman" w:hAnsi="Calibri" w:cs="Times New Roman"/>
          <w:kern w:val="0"/>
          <w:sz w:val="22"/>
          <w14:ligatures w14:val="none"/>
        </w:rPr>
        <w:t>The following chart reflects 2019 data estimating disabilities among the pediatric population in the Central Region.</w:t>
      </w:r>
    </w:p>
    <w:tbl>
      <w:tblPr>
        <w:tblW w:w="9031" w:type="dxa"/>
        <w:tblLayout w:type="fixed"/>
        <w:tblLook w:val="04A0" w:firstRow="1" w:lastRow="0" w:firstColumn="1" w:lastColumn="0" w:noHBand="0" w:noVBand="1"/>
      </w:tblPr>
      <w:tblGrid>
        <w:gridCol w:w="1560"/>
        <w:gridCol w:w="840"/>
        <w:gridCol w:w="720"/>
        <w:gridCol w:w="600"/>
        <w:gridCol w:w="776"/>
        <w:gridCol w:w="551"/>
        <w:gridCol w:w="551"/>
        <w:gridCol w:w="1052"/>
        <w:gridCol w:w="1273"/>
        <w:gridCol w:w="1108"/>
      </w:tblGrid>
      <w:tr w:rsidR="008B438E" w:rsidRPr="008B438E" w14:paraId="3C073090" w14:textId="77777777" w:rsidTr="008B438E">
        <w:trPr>
          <w:trHeight w:val="280"/>
        </w:trPr>
        <w:tc>
          <w:tcPr>
            <w:tcW w:w="1560" w:type="dxa"/>
            <w:tcBorders>
              <w:top w:val="single" w:sz="4" w:space="0" w:color="auto"/>
              <w:left w:val="nil"/>
              <w:bottom w:val="single" w:sz="4" w:space="0" w:color="auto"/>
              <w:right w:val="single" w:sz="4" w:space="0" w:color="auto"/>
            </w:tcBorders>
            <w:shd w:val="clear" w:color="auto" w:fill="939F27"/>
            <w:noWrap/>
            <w:vAlign w:val="bottom"/>
          </w:tcPr>
          <w:p w14:paraId="31D5BD35"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p>
        </w:tc>
        <w:tc>
          <w:tcPr>
            <w:tcW w:w="1560" w:type="dxa"/>
            <w:gridSpan w:val="2"/>
            <w:tcBorders>
              <w:top w:val="single" w:sz="4" w:space="0" w:color="auto"/>
              <w:left w:val="nil"/>
              <w:bottom w:val="single" w:sz="4" w:space="0" w:color="auto"/>
              <w:right w:val="single" w:sz="4" w:space="0" w:color="auto"/>
            </w:tcBorders>
            <w:shd w:val="clear" w:color="auto" w:fill="939F27"/>
            <w:vAlign w:val="bottom"/>
            <w:hideMark/>
          </w:tcPr>
          <w:p w14:paraId="6FC86900"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All Disabilities</w:t>
            </w:r>
          </w:p>
        </w:tc>
        <w:tc>
          <w:tcPr>
            <w:tcW w:w="1376" w:type="dxa"/>
            <w:gridSpan w:val="2"/>
            <w:tcBorders>
              <w:top w:val="single" w:sz="4" w:space="0" w:color="auto"/>
              <w:left w:val="nil"/>
              <w:bottom w:val="single" w:sz="4" w:space="0" w:color="auto"/>
              <w:right w:val="single" w:sz="4" w:space="0" w:color="auto"/>
            </w:tcBorders>
            <w:shd w:val="clear" w:color="auto" w:fill="939F27"/>
            <w:vAlign w:val="bottom"/>
            <w:hideMark/>
          </w:tcPr>
          <w:p w14:paraId="76712187"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Hearing difficulty &lt; 17 years</w:t>
            </w:r>
          </w:p>
        </w:tc>
        <w:tc>
          <w:tcPr>
            <w:tcW w:w="1102" w:type="dxa"/>
            <w:gridSpan w:val="2"/>
            <w:tcBorders>
              <w:top w:val="single" w:sz="4" w:space="0" w:color="auto"/>
              <w:left w:val="nil"/>
              <w:bottom w:val="single" w:sz="4" w:space="0" w:color="auto"/>
              <w:right w:val="single" w:sz="4" w:space="0" w:color="auto"/>
            </w:tcBorders>
            <w:shd w:val="clear" w:color="auto" w:fill="939F27"/>
            <w:vAlign w:val="bottom"/>
            <w:hideMark/>
          </w:tcPr>
          <w:p w14:paraId="6D20340C"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Vision Difficulty &lt; 17 years</w:t>
            </w:r>
          </w:p>
        </w:tc>
        <w:tc>
          <w:tcPr>
            <w:tcW w:w="1052" w:type="dxa"/>
            <w:tcBorders>
              <w:top w:val="single" w:sz="4" w:space="0" w:color="auto"/>
              <w:left w:val="nil"/>
              <w:bottom w:val="single" w:sz="4" w:space="0" w:color="auto"/>
              <w:right w:val="single" w:sz="4" w:space="0" w:color="auto"/>
            </w:tcBorders>
            <w:shd w:val="clear" w:color="auto" w:fill="939F27"/>
            <w:noWrap/>
            <w:vAlign w:val="bottom"/>
            <w:hideMark/>
          </w:tcPr>
          <w:p w14:paraId="0779A1E1"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Cognitive Difficulty &lt; 18 years</w:t>
            </w:r>
          </w:p>
        </w:tc>
        <w:tc>
          <w:tcPr>
            <w:tcW w:w="1273" w:type="dxa"/>
            <w:tcBorders>
              <w:top w:val="single" w:sz="4" w:space="0" w:color="auto"/>
              <w:left w:val="nil"/>
              <w:bottom w:val="single" w:sz="4" w:space="0" w:color="auto"/>
              <w:right w:val="single" w:sz="4" w:space="0" w:color="auto"/>
            </w:tcBorders>
            <w:shd w:val="clear" w:color="auto" w:fill="939F27"/>
            <w:noWrap/>
            <w:vAlign w:val="bottom"/>
            <w:hideMark/>
          </w:tcPr>
          <w:p w14:paraId="6043EF68"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Ambulatory Difficulty &lt;18 years</w:t>
            </w:r>
          </w:p>
        </w:tc>
        <w:tc>
          <w:tcPr>
            <w:tcW w:w="1108" w:type="dxa"/>
            <w:tcBorders>
              <w:top w:val="single" w:sz="4" w:space="0" w:color="auto"/>
              <w:left w:val="nil"/>
              <w:bottom w:val="single" w:sz="4" w:space="0" w:color="auto"/>
              <w:right w:val="single" w:sz="4" w:space="0" w:color="auto"/>
            </w:tcBorders>
            <w:shd w:val="clear" w:color="auto" w:fill="939F27"/>
            <w:noWrap/>
            <w:vAlign w:val="bottom"/>
            <w:hideMark/>
          </w:tcPr>
          <w:p w14:paraId="29444B3D"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Self-Care difficulty &lt;18 years</w:t>
            </w:r>
          </w:p>
        </w:tc>
      </w:tr>
      <w:tr w:rsidR="008B438E" w:rsidRPr="008B438E" w14:paraId="0CF12F5B" w14:textId="77777777" w:rsidTr="008B438E">
        <w:trPr>
          <w:trHeight w:val="280"/>
        </w:trPr>
        <w:tc>
          <w:tcPr>
            <w:tcW w:w="1560" w:type="dxa"/>
            <w:tcBorders>
              <w:top w:val="single" w:sz="4" w:space="0" w:color="auto"/>
              <w:left w:val="nil"/>
              <w:bottom w:val="single" w:sz="4" w:space="0" w:color="auto"/>
              <w:right w:val="single" w:sz="4" w:space="0" w:color="auto"/>
            </w:tcBorders>
            <w:shd w:val="clear" w:color="auto" w:fill="939F27"/>
            <w:noWrap/>
            <w:vAlign w:val="bottom"/>
          </w:tcPr>
          <w:p w14:paraId="7ADED023"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p>
        </w:tc>
        <w:tc>
          <w:tcPr>
            <w:tcW w:w="840" w:type="dxa"/>
            <w:tcBorders>
              <w:top w:val="single" w:sz="4" w:space="0" w:color="auto"/>
              <w:left w:val="nil"/>
              <w:bottom w:val="single" w:sz="4" w:space="0" w:color="auto"/>
              <w:right w:val="single" w:sz="4" w:space="0" w:color="auto"/>
            </w:tcBorders>
            <w:shd w:val="clear" w:color="auto" w:fill="939F27"/>
            <w:vAlign w:val="bottom"/>
            <w:hideMark/>
          </w:tcPr>
          <w:p w14:paraId="50E3C806" w14:textId="77777777" w:rsidR="008B438E" w:rsidRPr="008B438E" w:rsidRDefault="008B438E" w:rsidP="00824A48">
            <w:pPr>
              <w:spacing w:after="0" w:line="276" w:lineRule="auto"/>
              <w:ind w:left="0" w:right="0"/>
              <w:jc w:val="center"/>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&lt; 5</w:t>
            </w:r>
          </w:p>
        </w:tc>
        <w:tc>
          <w:tcPr>
            <w:tcW w:w="720" w:type="dxa"/>
            <w:tcBorders>
              <w:top w:val="single" w:sz="4" w:space="0" w:color="auto"/>
              <w:left w:val="nil"/>
              <w:bottom w:val="single" w:sz="4" w:space="0" w:color="auto"/>
              <w:right w:val="single" w:sz="4" w:space="0" w:color="auto"/>
            </w:tcBorders>
            <w:shd w:val="clear" w:color="auto" w:fill="939F27"/>
            <w:vAlign w:val="bottom"/>
            <w:hideMark/>
          </w:tcPr>
          <w:p w14:paraId="4D7D6B04" w14:textId="77777777" w:rsidR="008B438E" w:rsidRPr="008B438E" w:rsidRDefault="008B438E" w:rsidP="00824A48">
            <w:pPr>
              <w:spacing w:after="0" w:line="276" w:lineRule="auto"/>
              <w:ind w:left="0" w:right="0"/>
              <w:jc w:val="center"/>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5-17</w:t>
            </w:r>
          </w:p>
        </w:tc>
        <w:tc>
          <w:tcPr>
            <w:tcW w:w="600" w:type="dxa"/>
            <w:tcBorders>
              <w:top w:val="single" w:sz="4" w:space="0" w:color="auto"/>
              <w:left w:val="nil"/>
              <w:bottom w:val="single" w:sz="4" w:space="0" w:color="auto"/>
              <w:right w:val="single" w:sz="4" w:space="0" w:color="auto"/>
            </w:tcBorders>
            <w:shd w:val="clear" w:color="auto" w:fill="939F27"/>
            <w:vAlign w:val="bottom"/>
            <w:hideMark/>
          </w:tcPr>
          <w:p w14:paraId="5F7F545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&lt;5</w:t>
            </w:r>
          </w:p>
        </w:tc>
        <w:tc>
          <w:tcPr>
            <w:tcW w:w="776" w:type="dxa"/>
            <w:tcBorders>
              <w:top w:val="single" w:sz="4" w:space="0" w:color="auto"/>
              <w:left w:val="nil"/>
              <w:bottom w:val="single" w:sz="4" w:space="0" w:color="auto"/>
              <w:right w:val="single" w:sz="4" w:space="0" w:color="auto"/>
            </w:tcBorders>
            <w:shd w:val="clear" w:color="auto" w:fill="939F27"/>
            <w:vAlign w:val="bottom"/>
            <w:hideMark/>
          </w:tcPr>
          <w:p w14:paraId="32D2756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5-17</w:t>
            </w:r>
          </w:p>
        </w:tc>
        <w:tc>
          <w:tcPr>
            <w:tcW w:w="551" w:type="dxa"/>
            <w:tcBorders>
              <w:top w:val="single" w:sz="4" w:space="0" w:color="auto"/>
              <w:left w:val="nil"/>
              <w:bottom w:val="single" w:sz="4" w:space="0" w:color="auto"/>
              <w:right w:val="single" w:sz="4" w:space="0" w:color="auto"/>
            </w:tcBorders>
            <w:shd w:val="clear" w:color="auto" w:fill="939F27"/>
            <w:vAlign w:val="bottom"/>
            <w:hideMark/>
          </w:tcPr>
          <w:p w14:paraId="4EEFB3C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&lt; 5</w:t>
            </w:r>
          </w:p>
        </w:tc>
        <w:tc>
          <w:tcPr>
            <w:tcW w:w="551" w:type="dxa"/>
            <w:tcBorders>
              <w:top w:val="single" w:sz="4" w:space="0" w:color="auto"/>
              <w:left w:val="nil"/>
              <w:bottom w:val="single" w:sz="4" w:space="0" w:color="auto"/>
              <w:right w:val="single" w:sz="4" w:space="0" w:color="auto"/>
            </w:tcBorders>
            <w:shd w:val="clear" w:color="auto" w:fill="939F27"/>
            <w:vAlign w:val="bottom"/>
            <w:hideMark/>
          </w:tcPr>
          <w:p w14:paraId="5CD1E48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5-17</w:t>
            </w:r>
          </w:p>
        </w:tc>
        <w:tc>
          <w:tcPr>
            <w:tcW w:w="1052" w:type="dxa"/>
            <w:tcBorders>
              <w:top w:val="single" w:sz="4" w:space="0" w:color="auto"/>
              <w:left w:val="nil"/>
              <w:bottom w:val="single" w:sz="4" w:space="0" w:color="auto"/>
              <w:right w:val="single" w:sz="4" w:space="0" w:color="auto"/>
            </w:tcBorders>
            <w:shd w:val="clear" w:color="auto" w:fill="939F27"/>
            <w:noWrap/>
            <w:vAlign w:val="bottom"/>
          </w:tcPr>
          <w:p w14:paraId="7B3961E3"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p>
        </w:tc>
        <w:tc>
          <w:tcPr>
            <w:tcW w:w="1273" w:type="dxa"/>
            <w:tcBorders>
              <w:top w:val="single" w:sz="4" w:space="0" w:color="auto"/>
              <w:left w:val="nil"/>
              <w:bottom w:val="single" w:sz="4" w:space="0" w:color="auto"/>
              <w:right w:val="single" w:sz="4" w:space="0" w:color="auto"/>
            </w:tcBorders>
            <w:shd w:val="clear" w:color="auto" w:fill="939F27"/>
            <w:noWrap/>
            <w:vAlign w:val="bottom"/>
          </w:tcPr>
          <w:p w14:paraId="636D46E9"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p>
        </w:tc>
        <w:tc>
          <w:tcPr>
            <w:tcW w:w="1108" w:type="dxa"/>
            <w:tcBorders>
              <w:top w:val="single" w:sz="4" w:space="0" w:color="auto"/>
              <w:left w:val="nil"/>
              <w:bottom w:val="single" w:sz="4" w:space="0" w:color="auto"/>
              <w:right w:val="single" w:sz="4" w:space="0" w:color="auto"/>
            </w:tcBorders>
            <w:shd w:val="clear" w:color="auto" w:fill="939F27"/>
            <w:noWrap/>
            <w:vAlign w:val="bottom"/>
          </w:tcPr>
          <w:p w14:paraId="724645D0"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p>
        </w:tc>
      </w:tr>
      <w:tr w:rsidR="008B438E" w:rsidRPr="008B438E" w14:paraId="6A716629" w14:textId="77777777" w:rsidTr="008B438E">
        <w:trPr>
          <w:trHeight w:val="280"/>
        </w:trPr>
        <w:tc>
          <w:tcPr>
            <w:tcW w:w="1560" w:type="dxa"/>
            <w:tcBorders>
              <w:top w:val="single" w:sz="4" w:space="0" w:color="auto"/>
              <w:left w:val="nil"/>
              <w:bottom w:val="single" w:sz="4" w:space="0" w:color="auto"/>
              <w:right w:val="single" w:sz="4" w:space="0" w:color="auto"/>
            </w:tcBorders>
            <w:shd w:val="clear" w:color="auto" w:fill="D9E288"/>
            <w:noWrap/>
            <w:vAlign w:val="bottom"/>
            <w:hideMark/>
          </w:tcPr>
          <w:p w14:paraId="1BB27407"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Benton</w:t>
            </w:r>
          </w:p>
        </w:tc>
        <w:tc>
          <w:tcPr>
            <w:tcW w:w="840" w:type="dxa"/>
            <w:tcBorders>
              <w:top w:val="single" w:sz="4" w:space="0" w:color="auto"/>
              <w:left w:val="nil"/>
              <w:bottom w:val="single" w:sz="4" w:space="0" w:color="auto"/>
              <w:right w:val="single" w:sz="4" w:space="0" w:color="auto"/>
            </w:tcBorders>
            <w:vAlign w:val="bottom"/>
            <w:hideMark/>
          </w:tcPr>
          <w:p w14:paraId="2819EC5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 xml:space="preserve">                 21 </w:t>
            </w:r>
          </w:p>
        </w:tc>
        <w:tc>
          <w:tcPr>
            <w:tcW w:w="720" w:type="dxa"/>
            <w:tcBorders>
              <w:top w:val="single" w:sz="4" w:space="0" w:color="auto"/>
              <w:left w:val="nil"/>
              <w:bottom w:val="single" w:sz="4" w:space="0" w:color="auto"/>
              <w:right w:val="single" w:sz="4" w:space="0" w:color="auto"/>
            </w:tcBorders>
            <w:vAlign w:val="bottom"/>
            <w:hideMark/>
          </w:tcPr>
          <w:p w14:paraId="058C772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508</w:t>
            </w:r>
          </w:p>
        </w:tc>
        <w:tc>
          <w:tcPr>
            <w:tcW w:w="600" w:type="dxa"/>
            <w:tcBorders>
              <w:top w:val="single" w:sz="4" w:space="0" w:color="auto"/>
              <w:left w:val="nil"/>
              <w:bottom w:val="single" w:sz="4" w:space="0" w:color="auto"/>
              <w:right w:val="single" w:sz="4" w:space="0" w:color="auto"/>
            </w:tcBorders>
            <w:vAlign w:val="bottom"/>
            <w:hideMark/>
          </w:tcPr>
          <w:p w14:paraId="78C32FA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 xml:space="preserve">               19 </w:t>
            </w:r>
          </w:p>
        </w:tc>
        <w:tc>
          <w:tcPr>
            <w:tcW w:w="776" w:type="dxa"/>
            <w:tcBorders>
              <w:top w:val="single" w:sz="4" w:space="0" w:color="auto"/>
              <w:left w:val="nil"/>
              <w:bottom w:val="single" w:sz="4" w:space="0" w:color="auto"/>
              <w:right w:val="single" w:sz="4" w:space="0" w:color="auto"/>
            </w:tcBorders>
            <w:vAlign w:val="bottom"/>
            <w:hideMark/>
          </w:tcPr>
          <w:p w14:paraId="73085E34"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42</w:t>
            </w:r>
          </w:p>
        </w:tc>
        <w:tc>
          <w:tcPr>
            <w:tcW w:w="551" w:type="dxa"/>
            <w:tcBorders>
              <w:top w:val="single" w:sz="4" w:space="0" w:color="auto"/>
              <w:left w:val="nil"/>
              <w:bottom w:val="single" w:sz="4" w:space="0" w:color="auto"/>
              <w:right w:val="single" w:sz="4" w:space="0" w:color="auto"/>
            </w:tcBorders>
            <w:vAlign w:val="bottom"/>
            <w:hideMark/>
          </w:tcPr>
          <w:p w14:paraId="2312DBD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w:t>
            </w:r>
          </w:p>
        </w:tc>
        <w:tc>
          <w:tcPr>
            <w:tcW w:w="551" w:type="dxa"/>
            <w:tcBorders>
              <w:top w:val="single" w:sz="4" w:space="0" w:color="auto"/>
              <w:left w:val="nil"/>
              <w:bottom w:val="single" w:sz="4" w:space="0" w:color="auto"/>
              <w:right w:val="single" w:sz="4" w:space="0" w:color="auto"/>
            </w:tcBorders>
            <w:vAlign w:val="bottom"/>
            <w:hideMark/>
          </w:tcPr>
          <w:p w14:paraId="25879C3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94</w:t>
            </w:r>
          </w:p>
        </w:tc>
        <w:tc>
          <w:tcPr>
            <w:tcW w:w="1052" w:type="dxa"/>
            <w:tcBorders>
              <w:top w:val="single" w:sz="4" w:space="0" w:color="auto"/>
              <w:left w:val="nil"/>
              <w:bottom w:val="single" w:sz="4" w:space="0" w:color="auto"/>
              <w:right w:val="single" w:sz="4" w:space="0" w:color="auto"/>
            </w:tcBorders>
            <w:noWrap/>
            <w:vAlign w:val="bottom"/>
            <w:hideMark/>
          </w:tcPr>
          <w:p w14:paraId="5E7FF7A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428</w:t>
            </w:r>
          </w:p>
        </w:tc>
        <w:tc>
          <w:tcPr>
            <w:tcW w:w="1273" w:type="dxa"/>
            <w:tcBorders>
              <w:top w:val="single" w:sz="4" w:space="0" w:color="auto"/>
              <w:left w:val="nil"/>
              <w:bottom w:val="single" w:sz="4" w:space="0" w:color="auto"/>
              <w:right w:val="single" w:sz="4" w:space="0" w:color="auto"/>
            </w:tcBorders>
            <w:noWrap/>
            <w:vAlign w:val="bottom"/>
            <w:hideMark/>
          </w:tcPr>
          <w:p w14:paraId="6E4C215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40</w:t>
            </w:r>
          </w:p>
        </w:tc>
        <w:tc>
          <w:tcPr>
            <w:tcW w:w="1108" w:type="dxa"/>
            <w:tcBorders>
              <w:top w:val="single" w:sz="4" w:space="0" w:color="auto"/>
              <w:left w:val="nil"/>
              <w:bottom w:val="single" w:sz="4" w:space="0" w:color="auto"/>
              <w:right w:val="single" w:sz="4" w:space="0" w:color="auto"/>
            </w:tcBorders>
            <w:noWrap/>
            <w:vAlign w:val="bottom"/>
            <w:hideMark/>
          </w:tcPr>
          <w:p w14:paraId="79A92EB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94</w:t>
            </w:r>
          </w:p>
        </w:tc>
      </w:tr>
      <w:tr w:rsidR="008B438E" w:rsidRPr="008B438E" w14:paraId="05AB0A68"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1B692AB5"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Cass</w:t>
            </w:r>
          </w:p>
        </w:tc>
        <w:tc>
          <w:tcPr>
            <w:tcW w:w="840" w:type="dxa"/>
            <w:tcBorders>
              <w:top w:val="nil"/>
              <w:left w:val="nil"/>
              <w:bottom w:val="single" w:sz="4" w:space="0" w:color="auto"/>
              <w:right w:val="single" w:sz="4" w:space="0" w:color="auto"/>
            </w:tcBorders>
            <w:vAlign w:val="bottom"/>
            <w:hideMark/>
          </w:tcPr>
          <w:p w14:paraId="2C98263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50</w:t>
            </w:r>
          </w:p>
        </w:tc>
        <w:tc>
          <w:tcPr>
            <w:tcW w:w="720" w:type="dxa"/>
            <w:tcBorders>
              <w:top w:val="nil"/>
              <w:left w:val="nil"/>
              <w:bottom w:val="single" w:sz="4" w:space="0" w:color="auto"/>
              <w:right w:val="single" w:sz="4" w:space="0" w:color="auto"/>
            </w:tcBorders>
            <w:vAlign w:val="bottom"/>
            <w:hideMark/>
          </w:tcPr>
          <w:p w14:paraId="63FFCCB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290</w:t>
            </w:r>
          </w:p>
        </w:tc>
        <w:tc>
          <w:tcPr>
            <w:tcW w:w="600" w:type="dxa"/>
            <w:tcBorders>
              <w:top w:val="nil"/>
              <w:left w:val="nil"/>
              <w:bottom w:val="single" w:sz="4" w:space="0" w:color="auto"/>
              <w:right w:val="single" w:sz="4" w:space="0" w:color="auto"/>
            </w:tcBorders>
            <w:vAlign w:val="bottom"/>
            <w:hideMark/>
          </w:tcPr>
          <w:p w14:paraId="675EAC6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37</w:t>
            </w:r>
          </w:p>
        </w:tc>
        <w:tc>
          <w:tcPr>
            <w:tcW w:w="776" w:type="dxa"/>
            <w:tcBorders>
              <w:top w:val="nil"/>
              <w:left w:val="nil"/>
              <w:bottom w:val="single" w:sz="4" w:space="0" w:color="auto"/>
              <w:right w:val="single" w:sz="4" w:space="0" w:color="auto"/>
            </w:tcBorders>
            <w:vAlign w:val="bottom"/>
            <w:hideMark/>
          </w:tcPr>
          <w:p w14:paraId="3607DBC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37</w:t>
            </w:r>
          </w:p>
        </w:tc>
        <w:tc>
          <w:tcPr>
            <w:tcW w:w="551" w:type="dxa"/>
            <w:tcBorders>
              <w:top w:val="nil"/>
              <w:left w:val="nil"/>
              <w:bottom w:val="single" w:sz="4" w:space="0" w:color="auto"/>
              <w:right w:val="single" w:sz="4" w:space="0" w:color="auto"/>
            </w:tcBorders>
            <w:vAlign w:val="bottom"/>
            <w:hideMark/>
          </w:tcPr>
          <w:p w14:paraId="668759A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17</w:t>
            </w:r>
          </w:p>
        </w:tc>
        <w:tc>
          <w:tcPr>
            <w:tcW w:w="551" w:type="dxa"/>
            <w:tcBorders>
              <w:top w:val="nil"/>
              <w:left w:val="nil"/>
              <w:bottom w:val="single" w:sz="4" w:space="0" w:color="auto"/>
              <w:right w:val="single" w:sz="4" w:space="0" w:color="auto"/>
            </w:tcBorders>
            <w:vAlign w:val="bottom"/>
            <w:hideMark/>
          </w:tcPr>
          <w:p w14:paraId="7186446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28</w:t>
            </w:r>
          </w:p>
        </w:tc>
        <w:tc>
          <w:tcPr>
            <w:tcW w:w="1052" w:type="dxa"/>
            <w:tcBorders>
              <w:top w:val="nil"/>
              <w:left w:val="nil"/>
              <w:bottom w:val="single" w:sz="4" w:space="0" w:color="auto"/>
              <w:right w:val="single" w:sz="4" w:space="0" w:color="auto"/>
            </w:tcBorders>
            <w:noWrap/>
            <w:vAlign w:val="bottom"/>
            <w:hideMark/>
          </w:tcPr>
          <w:p w14:paraId="46FA6E1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220</w:t>
            </w:r>
          </w:p>
        </w:tc>
        <w:tc>
          <w:tcPr>
            <w:tcW w:w="1273" w:type="dxa"/>
            <w:tcBorders>
              <w:top w:val="nil"/>
              <w:left w:val="nil"/>
              <w:bottom w:val="single" w:sz="4" w:space="0" w:color="auto"/>
              <w:right w:val="single" w:sz="4" w:space="0" w:color="auto"/>
            </w:tcBorders>
            <w:noWrap/>
            <w:vAlign w:val="bottom"/>
            <w:hideMark/>
          </w:tcPr>
          <w:p w14:paraId="105D75C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19</w:t>
            </w:r>
          </w:p>
        </w:tc>
        <w:tc>
          <w:tcPr>
            <w:tcW w:w="1108" w:type="dxa"/>
            <w:tcBorders>
              <w:top w:val="nil"/>
              <w:left w:val="nil"/>
              <w:bottom w:val="single" w:sz="4" w:space="0" w:color="auto"/>
              <w:right w:val="single" w:sz="4" w:space="0" w:color="auto"/>
            </w:tcBorders>
            <w:noWrap/>
            <w:vAlign w:val="bottom"/>
            <w:hideMark/>
          </w:tcPr>
          <w:p w14:paraId="6C7CAAA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45</w:t>
            </w:r>
          </w:p>
        </w:tc>
      </w:tr>
      <w:tr w:rsidR="008B438E" w:rsidRPr="008B438E" w14:paraId="641E2D4B"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0DBAED82"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Chisago</w:t>
            </w:r>
          </w:p>
        </w:tc>
        <w:tc>
          <w:tcPr>
            <w:tcW w:w="840" w:type="dxa"/>
            <w:tcBorders>
              <w:top w:val="nil"/>
              <w:left w:val="nil"/>
              <w:bottom w:val="single" w:sz="4" w:space="0" w:color="auto"/>
              <w:right w:val="single" w:sz="4" w:space="0" w:color="auto"/>
            </w:tcBorders>
            <w:vAlign w:val="bottom"/>
            <w:hideMark/>
          </w:tcPr>
          <w:p w14:paraId="573650C4"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48</w:t>
            </w:r>
          </w:p>
        </w:tc>
        <w:tc>
          <w:tcPr>
            <w:tcW w:w="720" w:type="dxa"/>
            <w:tcBorders>
              <w:top w:val="nil"/>
              <w:left w:val="nil"/>
              <w:bottom w:val="single" w:sz="4" w:space="0" w:color="auto"/>
              <w:right w:val="single" w:sz="4" w:space="0" w:color="auto"/>
            </w:tcBorders>
            <w:vAlign w:val="bottom"/>
            <w:hideMark/>
          </w:tcPr>
          <w:p w14:paraId="59C5666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411</w:t>
            </w:r>
          </w:p>
        </w:tc>
        <w:tc>
          <w:tcPr>
            <w:tcW w:w="600" w:type="dxa"/>
            <w:tcBorders>
              <w:top w:val="nil"/>
              <w:left w:val="nil"/>
              <w:bottom w:val="single" w:sz="4" w:space="0" w:color="auto"/>
              <w:right w:val="single" w:sz="4" w:space="0" w:color="auto"/>
            </w:tcBorders>
            <w:vAlign w:val="bottom"/>
            <w:hideMark/>
          </w:tcPr>
          <w:p w14:paraId="04F6C9F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41</w:t>
            </w:r>
          </w:p>
        </w:tc>
        <w:tc>
          <w:tcPr>
            <w:tcW w:w="776" w:type="dxa"/>
            <w:tcBorders>
              <w:top w:val="nil"/>
              <w:left w:val="nil"/>
              <w:bottom w:val="single" w:sz="4" w:space="0" w:color="auto"/>
              <w:right w:val="single" w:sz="4" w:space="0" w:color="auto"/>
            </w:tcBorders>
            <w:vAlign w:val="bottom"/>
            <w:hideMark/>
          </w:tcPr>
          <w:p w14:paraId="0AAF2AA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44</w:t>
            </w:r>
          </w:p>
        </w:tc>
        <w:tc>
          <w:tcPr>
            <w:tcW w:w="551" w:type="dxa"/>
            <w:tcBorders>
              <w:top w:val="nil"/>
              <w:left w:val="nil"/>
              <w:bottom w:val="single" w:sz="4" w:space="0" w:color="auto"/>
              <w:right w:val="single" w:sz="4" w:space="0" w:color="auto"/>
            </w:tcBorders>
            <w:vAlign w:val="bottom"/>
            <w:hideMark/>
          </w:tcPr>
          <w:p w14:paraId="7D04104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7</w:t>
            </w:r>
          </w:p>
        </w:tc>
        <w:tc>
          <w:tcPr>
            <w:tcW w:w="551" w:type="dxa"/>
            <w:tcBorders>
              <w:top w:val="nil"/>
              <w:left w:val="nil"/>
              <w:bottom w:val="single" w:sz="4" w:space="0" w:color="auto"/>
              <w:right w:val="single" w:sz="4" w:space="0" w:color="auto"/>
            </w:tcBorders>
            <w:vAlign w:val="bottom"/>
            <w:hideMark/>
          </w:tcPr>
          <w:p w14:paraId="1FF22654"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61</w:t>
            </w:r>
          </w:p>
        </w:tc>
        <w:tc>
          <w:tcPr>
            <w:tcW w:w="1052" w:type="dxa"/>
            <w:tcBorders>
              <w:top w:val="nil"/>
              <w:left w:val="nil"/>
              <w:bottom w:val="single" w:sz="4" w:space="0" w:color="auto"/>
              <w:right w:val="single" w:sz="4" w:space="0" w:color="auto"/>
            </w:tcBorders>
            <w:noWrap/>
            <w:vAlign w:val="bottom"/>
            <w:hideMark/>
          </w:tcPr>
          <w:p w14:paraId="27B51B9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301</w:t>
            </w:r>
          </w:p>
        </w:tc>
        <w:tc>
          <w:tcPr>
            <w:tcW w:w="1273" w:type="dxa"/>
            <w:tcBorders>
              <w:top w:val="nil"/>
              <w:left w:val="nil"/>
              <w:bottom w:val="single" w:sz="4" w:space="0" w:color="auto"/>
              <w:right w:val="single" w:sz="4" w:space="0" w:color="auto"/>
            </w:tcBorders>
            <w:noWrap/>
            <w:vAlign w:val="bottom"/>
            <w:hideMark/>
          </w:tcPr>
          <w:p w14:paraId="69F036B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60</w:t>
            </w:r>
          </w:p>
        </w:tc>
        <w:tc>
          <w:tcPr>
            <w:tcW w:w="1108" w:type="dxa"/>
            <w:tcBorders>
              <w:top w:val="nil"/>
              <w:left w:val="nil"/>
              <w:bottom w:val="single" w:sz="4" w:space="0" w:color="auto"/>
              <w:right w:val="single" w:sz="4" w:space="0" w:color="auto"/>
            </w:tcBorders>
            <w:noWrap/>
            <w:vAlign w:val="bottom"/>
            <w:hideMark/>
          </w:tcPr>
          <w:p w14:paraId="3F70C40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149</w:t>
            </w:r>
          </w:p>
        </w:tc>
      </w:tr>
      <w:tr w:rsidR="008B438E" w:rsidRPr="008B438E" w14:paraId="226FF318"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74BC78C6"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Crow Wing</w:t>
            </w:r>
          </w:p>
        </w:tc>
        <w:tc>
          <w:tcPr>
            <w:tcW w:w="840" w:type="dxa"/>
            <w:tcBorders>
              <w:top w:val="nil"/>
              <w:left w:val="nil"/>
              <w:bottom w:val="single" w:sz="4" w:space="0" w:color="auto"/>
              <w:right w:val="single" w:sz="4" w:space="0" w:color="auto"/>
            </w:tcBorders>
            <w:vAlign w:val="bottom"/>
            <w:hideMark/>
          </w:tcPr>
          <w:p w14:paraId="7D723EA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69</w:t>
            </w:r>
          </w:p>
        </w:tc>
        <w:tc>
          <w:tcPr>
            <w:tcW w:w="720" w:type="dxa"/>
            <w:tcBorders>
              <w:top w:val="nil"/>
              <w:left w:val="nil"/>
              <w:bottom w:val="single" w:sz="4" w:space="0" w:color="auto"/>
              <w:right w:val="single" w:sz="4" w:space="0" w:color="auto"/>
            </w:tcBorders>
            <w:vAlign w:val="bottom"/>
            <w:hideMark/>
          </w:tcPr>
          <w:p w14:paraId="22DAC79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569</w:t>
            </w:r>
          </w:p>
        </w:tc>
        <w:tc>
          <w:tcPr>
            <w:tcW w:w="600" w:type="dxa"/>
            <w:tcBorders>
              <w:top w:val="nil"/>
              <w:left w:val="nil"/>
              <w:bottom w:val="single" w:sz="4" w:space="0" w:color="auto"/>
              <w:right w:val="single" w:sz="4" w:space="0" w:color="auto"/>
            </w:tcBorders>
            <w:vAlign w:val="bottom"/>
            <w:hideMark/>
          </w:tcPr>
          <w:p w14:paraId="3E28B35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68</w:t>
            </w:r>
          </w:p>
        </w:tc>
        <w:tc>
          <w:tcPr>
            <w:tcW w:w="776" w:type="dxa"/>
            <w:tcBorders>
              <w:top w:val="nil"/>
              <w:left w:val="nil"/>
              <w:bottom w:val="single" w:sz="4" w:space="0" w:color="auto"/>
              <w:right w:val="single" w:sz="4" w:space="0" w:color="auto"/>
            </w:tcBorders>
            <w:vAlign w:val="bottom"/>
            <w:hideMark/>
          </w:tcPr>
          <w:p w14:paraId="3A75F51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54</w:t>
            </w:r>
          </w:p>
        </w:tc>
        <w:tc>
          <w:tcPr>
            <w:tcW w:w="551" w:type="dxa"/>
            <w:tcBorders>
              <w:top w:val="nil"/>
              <w:left w:val="nil"/>
              <w:bottom w:val="single" w:sz="4" w:space="0" w:color="auto"/>
              <w:right w:val="single" w:sz="4" w:space="0" w:color="auto"/>
            </w:tcBorders>
            <w:vAlign w:val="bottom"/>
            <w:hideMark/>
          </w:tcPr>
          <w:p w14:paraId="5A493CD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51</w:t>
            </w:r>
          </w:p>
        </w:tc>
        <w:tc>
          <w:tcPr>
            <w:tcW w:w="551" w:type="dxa"/>
            <w:tcBorders>
              <w:top w:val="nil"/>
              <w:left w:val="nil"/>
              <w:bottom w:val="single" w:sz="4" w:space="0" w:color="auto"/>
              <w:right w:val="single" w:sz="4" w:space="0" w:color="auto"/>
            </w:tcBorders>
            <w:vAlign w:val="bottom"/>
            <w:hideMark/>
          </w:tcPr>
          <w:p w14:paraId="46AEEB4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56</w:t>
            </w:r>
          </w:p>
        </w:tc>
        <w:tc>
          <w:tcPr>
            <w:tcW w:w="1052" w:type="dxa"/>
            <w:tcBorders>
              <w:top w:val="nil"/>
              <w:left w:val="nil"/>
              <w:bottom w:val="single" w:sz="4" w:space="0" w:color="auto"/>
              <w:right w:val="single" w:sz="4" w:space="0" w:color="auto"/>
            </w:tcBorders>
            <w:noWrap/>
            <w:vAlign w:val="bottom"/>
            <w:hideMark/>
          </w:tcPr>
          <w:p w14:paraId="3F83E17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512</w:t>
            </w:r>
          </w:p>
        </w:tc>
        <w:tc>
          <w:tcPr>
            <w:tcW w:w="1273" w:type="dxa"/>
            <w:tcBorders>
              <w:top w:val="nil"/>
              <w:left w:val="nil"/>
              <w:bottom w:val="single" w:sz="4" w:space="0" w:color="auto"/>
              <w:right w:val="single" w:sz="4" w:space="0" w:color="auto"/>
            </w:tcBorders>
            <w:noWrap/>
            <w:vAlign w:val="bottom"/>
            <w:hideMark/>
          </w:tcPr>
          <w:p w14:paraId="416DB60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38</w:t>
            </w:r>
          </w:p>
        </w:tc>
        <w:tc>
          <w:tcPr>
            <w:tcW w:w="1108" w:type="dxa"/>
            <w:tcBorders>
              <w:top w:val="nil"/>
              <w:left w:val="nil"/>
              <w:bottom w:val="single" w:sz="4" w:space="0" w:color="auto"/>
              <w:right w:val="single" w:sz="4" w:space="0" w:color="auto"/>
            </w:tcBorders>
            <w:noWrap/>
            <w:vAlign w:val="bottom"/>
            <w:hideMark/>
          </w:tcPr>
          <w:p w14:paraId="28ECE09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97</w:t>
            </w:r>
          </w:p>
        </w:tc>
      </w:tr>
      <w:tr w:rsidR="008B438E" w:rsidRPr="008B438E" w14:paraId="4943304F"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3BCDA015"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Isanti</w:t>
            </w:r>
          </w:p>
        </w:tc>
        <w:tc>
          <w:tcPr>
            <w:tcW w:w="840" w:type="dxa"/>
            <w:tcBorders>
              <w:top w:val="nil"/>
              <w:left w:val="nil"/>
              <w:bottom w:val="single" w:sz="4" w:space="0" w:color="auto"/>
              <w:right w:val="single" w:sz="4" w:space="0" w:color="auto"/>
            </w:tcBorders>
            <w:vAlign w:val="bottom"/>
            <w:hideMark/>
          </w:tcPr>
          <w:p w14:paraId="5A83209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47</w:t>
            </w:r>
          </w:p>
        </w:tc>
        <w:tc>
          <w:tcPr>
            <w:tcW w:w="720" w:type="dxa"/>
            <w:tcBorders>
              <w:top w:val="nil"/>
              <w:left w:val="nil"/>
              <w:bottom w:val="single" w:sz="4" w:space="0" w:color="auto"/>
              <w:right w:val="single" w:sz="4" w:space="0" w:color="auto"/>
            </w:tcBorders>
            <w:vAlign w:val="bottom"/>
            <w:hideMark/>
          </w:tcPr>
          <w:p w14:paraId="73862E5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448</w:t>
            </w:r>
          </w:p>
        </w:tc>
        <w:tc>
          <w:tcPr>
            <w:tcW w:w="600" w:type="dxa"/>
            <w:tcBorders>
              <w:top w:val="nil"/>
              <w:left w:val="nil"/>
              <w:bottom w:val="single" w:sz="4" w:space="0" w:color="auto"/>
              <w:right w:val="single" w:sz="4" w:space="0" w:color="auto"/>
            </w:tcBorders>
            <w:vAlign w:val="bottom"/>
            <w:hideMark/>
          </w:tcPr>
          <w:p w14:paraId="7DAC0E7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47</w:t>
            </w:r>
          </w:p>
        </w:tc>
        <w:tc>
          <w:tcPr>
            <w:tcW w:w="776" w:type="dxa"/>
            <w:tcBorders>
              <w:top w:val="nil"/>
              <w:left w:val="nil"/>
              <w:bottom w:val="single" w:sz="4" w:space="0" w:color="auto"/>
              <w:right w:val="single" w:sz="4" w:space="0" w:color="auto"/>
            </w:tcBorders>
            <w:vAlign w:val="bottom"/>
            <w:hideMark/>
          </w:tcPr>
          <w:p w14:paraId="4CB34BF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52</w:t>
            </w:r>
          </w:p>
        </w:tc>
        <w:tc>
          <w:tcPr>
            <w:tcW w:w="551" w:type="dxa"/>
            <w:tcBorders>
              <w:top w:val="nil"/>
              <w:left w:val="nil"/>
              <w:bottom w:val="single" w:sz="4" w:space="0" w:color="auto"/>
              <w:right w:val="single" w:sz="4" w:space="0" w:color="auto"/>
            </w:tcBorders>
            <w:vAlign w:val="bottom"/>
          </w:tcPr>
          <w:p w14:paraId="1576E64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p>
        </w:tc>
        <w:tc>
          <w:tcPr>
            <w:tcW w:w="551" w:type="dxa"/>
            <w:tcBorders>
              <w:top w:val="nil"/>
              <w:left w:val="nil"/>
              <w:bottom w:val="single" w:sz="4" w:space="0" w:color="auto"/>
              <w:right w:val="single" w:sz="4" w:space="0" w:color="auto"/>
            </w:tcBorders>
            <w:vAlign w:val="bottom"/>
            <w:hideMark/>
          </w:tcPr>
          <w:p w14:paraId="0D6D029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33</w:t>
            </w:r>
          </w:p>
        </w:tc>
        <w:tc>
          <w:tcPr>
            <w:tcW w:w="1052" w:type="dxa"/>
            <w:tcBorders>
              <w:top w:val="nil"/>
              <w:left w:val="nil"/>
              <w:bottom w:val="single" w:sz="4" w:space="0" w:color="auto"/>
              <w:right w:val="single" w:sz="4" w:space="0" w:color="auto"/>
            </w:tcBorders>
            <w:noWrap/>
            <w:vAlign w:val="bottom"/>
            <w:hideMark/>
          </w:tcPr>
          <w:p w14:paraId="2A08472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378</w:t>
            </w:r>
          </w:p>
        </w:tc>
        <w:tc>
          <w:tcPr>
            <w:tcW w:w="1273" w:type="dxa"/>
            <w:tcBorders>
              <w:top w:val="nil"/>
              <w:left w:val="nil"/>
              <w:bottom w:val="single" w:sz="4" w:space="0" w:color="auto"/>
              <w:right w:val="single" w:sz="4" w:space="0" w:color="auto"/>
            </w:tcBorders>
            <w:noWrap/>
            <w:vAlign w:val="bottom"/>
            <w:hideMark/>
          </w:tcPr>
          <w:p w14:paraId="1A9F3C4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18</w:t>
            </w:r>
          </w:p>
        </w:tc>
        <w:tc>
          <w:tcPr>
            <w:tcW w:w="1108" w:type="dxa"/>
            <w:tcBorders>
              <w:top w:val="nil"/>
              <w:left w:val="nil"/>
              <w:bottom w:val="single" w:sz="4" w:space="0" w:color="auto"/>
              <w:right w:val="single" w:sz="4" w:space="0" w:color="auto"/>
            </w:tcBorders>
            <w:noWrap/>
            <w:vAlign w:val="bottom"/>
            <w:hideMark/>
          </w:tcPr>
          <w:p w14:paraId="69D91D3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105</w:t>
            </w:r>
          </w:p>
        </w:tc>
      </w:tr>
      <w:tr w:rsidR="008B438E" w:rsidRPr="008B438E" w14:paraId="65FD660D"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31A1124E"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Kanabec</w:t>
            </w:r>
          </w:p>
        </w:tc>
        <w:tc>
          <w:tcPr>
            <w:tcW w:w="840" w:type="dxa"/>
            <w:tcBorders>
              <w:top w:val="nil"/>
              <w:left w:val="nil"/>
              <w:bottom w:val="single" w:sz="4" w:space="0" w:color="auto"/>
              <w:right w:val="single" w:sz="4" w:space="0" w:color="auto"/>
            </w:tcBorders>
            <w:vAlign w:val="bottom"/>
            <w:hideMark/>
          </w:tcPr>
          <w:p w14:paraId="0B47F86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w:t>
            </w:r>
          </w:p>
        </w:tc>
        <w:tc>
          <w:tcPr>
            <w:tcW w:w="720" w:type="dxa"/>
            <w:tcBorders>
              <w:top w:val="nil"/>
              <w:left w:val="nil"/>
              <w:bottom w:val="single" w:sz="4" w:space="0" w:color="auto"/>
              <w:right w:val="single" w:sz="4" w:space="0" w:color="auto"/>
            </w:tcBorders>
            <w:vAlign w:val="bottom"/>
            <w:hideMark/>
          </w:tcPr>
          <w:p w14:paraId="631063F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265</w:t>
            </w:r>
          </w:p>
        </w:tc>
        <w:tc>
          <w:tcPr>
            <w:tcW w:w="600" w:type="dxa"/>
            <w:tcBorders>
              <w:top w:val="nil"/>
              <w:left w:val="nil"/>
              <w:bottom w:val="single" w:sz="4" w:space="0" w:color="auto"/>
              <w:right w:val="single" w:sz="4" w:space="0" w:color="auto"/>
            </w:tcBorders>
            <w:vAlign w:val="bottom"/>
          </w:tcPr>
          <w:p w14:paraId="06D927C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p>
        </w:tc>
        <w:tc>
          <w:tcPr>
            <w:tcW w:w="776" w:type="dxa"/>
            <w:tcBorders>
              <w:top w:val="nil"/>
              <w:left w:val="nil"/>
              <w:bottom w:val="single" w:sz="4" w:space="0" w:color="auto"/>
              <w:right w:val="single" w:sz="4" w:space="0" w:color="auto"/>
            </w:tcBorders>
            <w:vAlign w:val="bottom"/>
            <w:hideMark/>
          </w:tcPr>
          <w:p w14:paraId="53D78D4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30</w:t>
            </w:r>
          </w:p>
        </w:tc>
        <w:tc>
          <w:tcPr>
            <w:tcW w:w="551" w:type="dxa"/>
            <w:tcBorders>
              <w:top w:val="nil"/>
              <w:left w:val="nil"/>
              <w:bottom w:val="single" w:sz="4" w:space="0" w:color="auto"/>
              <w:right w:val="single" w:sz="4" w:space="0" w:color="auto"/>
            </w:tcBorders>
            <w:vAlign w:val="bottom"/>
            <w:hideMark/>
          </w:tcPr>
          <w:p w14:paraId="0F52C48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w:t>
            </w:r>
          </w:p>
        </w:tc>
        <w:tc>
          <w:tcPr>
            <w:tcW w:w="551" w:type="dxa"/>
            <w:tcBorders>
              <w:top w:val="nil"/>
              <w:left w:val="nil"/>
              <w:bottom w:val="single" w:sz="4" w:space="0" w:color="auto"/>
              <w:right w:val="single" w:sz="4" w:space="0" w:color="auto"/>
            </w:tcBorders>
            <w:vAlign w:val="bottom"/>
            <w:hideMark/>
          </w:tcPr>
          <w:p w14:paraId="754AB85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37</w:t>
            </w:r>
          </w:p>
        </w:tc>
        <w:tc>
          <w:tcPr>
            <w:tcW w:w="1052" w:type="dxa"/>
            <w:tcBorders>
              <w:top w:val="nil"/>
              <w:left w:val="nil"/>
              <w:bottom w:val="single" w:sz="4" w:space="0" w:color="auto"/>
              <w:right w:val="single" w:sz="4" w:space="0" w:color="auto"/>
            </w:tcBorders>
            <w:noWrap/>
            <w:vAlign w:val="bottom"/>
            <w:hideMark/>
          </w:tcPr>
          <w:p w14:paraId="4E90175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220</w:t>
            </w:r>
          </w:p>
        </w:tc>
        <w:tc>
          <w:tcPr>
            <w:tcW w:w="1273" w:type="dxa"/>
            <w:tcBorders>
              <w:top w:val="nil"/>
              <w:left w:val="nil"/>
              <w:bottom w:val="single" w:sz="4" w:space="0" w:color="auto"/>
              <w:right w:val="single" w:sz="4" w:space="0" w:color="auto"/>
            </w:tcBorders>
            <w:noWrap/>
            <w:vAlign w:val="bottom"/>
            <w:hideMark/>
          </w:tcPr>
          <w:p w14:paraId="08DC1DC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18</w:t>
            </w:r>
          </w:p>
        </w:tc>
        <w:tc>
          <w:tcPr>
            <w:tcW w:w="1108" w:type="dxa"/>
            <w:tcBorders>
              <w:top w:val="nil"/>
              <w:left w:val="nil"/>
              <w:bottom w:val="single" w:sz="4" w:space="0" w:color="auto"/>
              <w:right w:val="single" w:sz="4" w:space="0" w:color="auto"/>
            </w:tcBorders>
            <w:noWrap/>
            <w:vAlign w:val="bottom"/>
            <w:hideMark/>
          </w:tcPr>
          <w:p w14:paraId="7F6F257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42</w:t>
            </w:r>
          </w:p>
        </w:tc>
      </w:tr>
      <w:tr w:rsidR="008B438E" w:rsidRPr="008B438E" w14:paraId="2488334A"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4540EB7F"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Mille Lacs</w:t>
            </w:r>
          </w:p>
        </w:tc>
        <w:tc>
          <w:tcPr>
            <w:tcW w:w="840" w:type="dxa"/>
            <w:tcBorders>
              <w:top w:val="nil"/>
              <w:left w:val="nil"/>
              <w:bottom w:val="single" w:sz="4" w:space="0" w:color="auto"/>
              <w:right w:val="single" w:sz="4" w:space="0" w:color="auto"/>
            </w:tcBorders>
            <w:vAlign w:val="bottom"/>
            <w:hideMark/>
          </w:tcPr>
          <w:p w14:paraId="66973AC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53</w:t>
            </w:r>
          </w:p>
        </w:tc>
        <w:tc>
          <w:tcPr>
            <w:tcW w:w="720" w:type="dxa"/>
            <w:tcBorders>
              <w:top w:val="nil"/>
              <w:left w:val="nil"/>
              <w:bottom w:val="single" w:sz="4" w:space="0" w:color="auto"/>
              <w:right w:val="single" w:sz="4" w:space="0" w:color="auto"/>
            </w:tcBorders>
            <w:vAlign w:val="bottom"/>
            <w:hideMark/>
          </w:tcPr>
          <w:p w14:paraId="52B5F33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344</w:t>
            </w:r>
          </w:p>
        </w:tc>
        <w:tc>
          <w:tcPr>
            <w:tcW w:w="600" w:type="dxa"/>
            <w:tcBorders>
              <w:top w:val="nil"/>
              <w:left w:val="nil"/>
              <w:bottom w:val="single" w:sz="4" w:space="0" w:color="auto"/>
              <w:right w:val="single" w:sz="4" w:space="0" w:color="auto"/>
            </w:tcBorders>
            <w:vAlign w:val="bottom"/>
            <w:hideMark/>
          </w:tcPr>
          <w:p w14:paraId="2940CE3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12</w:t>
            </w:r>
          </w:p>
        </w:tc>
        <w:tc>
          <w:tcPr>
            <w:tcW w:w="776" w:type="dxa"/>
            <w:tcBorders>
              <w:top w:val="nil"/>
              <w:left w:val="nil"/>
              <w:bottom w:val="single" w:sz="4" w:space="0" w:color="auto"/>
              <w:right w:val="single" w:sz="4" w:space="0" w:color="auto"/>
            </w:tcBorders>
            <w:vAlign w:val="bottom"/>
            <w:hideMark/>
          </w:tcPr>
          <w:p w14:paraId="3634CFA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13</w:t>
            </w:r>
          </w:p>
        </w:tc>
        <w:tc>
          <w:tcPr>
            <w:tcW w:w="551" w:type="dxa"/>
            <w:tcBorders>
              <w:top w:val="nil"/>
              <w:left w:val="nil"/>
              <w:bottom w:val="single" w:sz="4" w:space="0" w:color="auto"/>
              <w:right w:val="single" w:sz="4" w:space="0" w:color="auto"/>
            </w:tcBorders>
            <w:vAlign w:val="bottom"/>
            <w:hideMark/>
          </w:tcPr>
          <w:p w14:paraId="230F1D2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41</w:t>
            </w:r>
          </w:p>
        </w:tc>
        <w:tc>
          <w:tcPr>
            <w:tcW w:w="551" w:type="dxa"/>
            <w:tcBorders>
              <w:top w:val="nil"/>
              <w:left w:val="nil"/>
              <w:bottom w:val="single" w:sz="4" w:space="0" w:color="auto"/>
              <w:right w:val="single" w:sz="4" w:space="0" w:color="auto"/>
            </w:tcBorders>
            <w:vAlign w:val="bottom"/>
            <w:hideMark/>
          </w:tcPr>
          <w:p w14:paraId="15DF033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13</w:t>
            </w:r>
          </w:p>
        </w:tc>
        <w:tc>
          <w:tcPr>
            <w:tcW w:w="1052" w:type="dxa"/>
            <w:tcBorders>
              <w:top w:val="nil"/>
              <w:left w:val="nil"/>
              <w:bottom w:val="single" w:sz="4" w:space="0" w:color="auto"/>
              <w:right w:val="single" w:sz="4" w:space="0" w:color="auto"/>
            </w:tcBorders>
            <w:noWrap/>
            <w:vAlign w:val="bottom"/>
            <w:hideMark/>
          </w:tcPr>
          <w:p w14:paraId="278B33D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302</w:t>
            </w:r>
          </w:p>
        </w:tc>
        <w:tc>
          <w:tcPr>
            <w:tcW w:w="1273" w:type="dxa"/>
            <w:tcBorders>
              <w:top w:val="nil"/>
              <w:left w:val="nil"/>
              <w:bottom w:val="single" w:sz="4" w:space="0" w:color="auto"/>
              <w:right w:val="single" w:sz="4" w:space="0" w:color="auto"/>
            </w:tcBorders>
            <w:noWrap/>
            <w:vAlign w:val="bottom"/>
            <w:hideMark/>
          </w:tcPr>
          <w:p w14:paraId="2250974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30</w:t>
            </w:r>
          </w:p>
        </w:tc>
        <w:tc>
          <w:tcPr>
            <w:tcW w:w="1108" w:type="dxa"/>
            <w:tcBorders>
              <w:top w:val="nil"/>
              <w:left w:val="nil"/>
              <w:bottom w:val="single" w:sz="4" w:space="0" w:color="auto"/>
              <w:right w:val="single" w:sz="4" w:space="0" w:color="auto"/>
            </w:tcBorders>
            <w:noWrap/>
            <w:vAlign w:val="bottom"/>
            <w:hideMark/>
          </w:tcPr>
          <w:p w14:paraId="08C9106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95</w:t>
            </w:r>
          </w:p>
        </w:tc>
      </w:tr>
      <w:tr w:rsidR="008B438E" w:rsidRPr="008B438E" w14:paraId="1D029E3F"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182463DE"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Morrison</w:t>
            </w:r>
          </w:p>
        </w:tc>
        <w:tc>
          <w:tcPr>
            <w:tcW w:w="840" w:type="dxa"/>
            <w:tcBorders>
              <w:top w:val="nil"/>
              <w:left w:val="nil"/>
              <w:bottom w:val="single" w:sz="4" w:space="0" w:color="auto"/>
              <w:right w:val="single" w:sz="4" w:space="0" w:color="auto"/>
            </w:tcBorders>
            <w:vAlign w:val="bottom"/>
            <w:hideMark/>
          </w:tcPr>
          <w:p w14:paraId="4718082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w:t>
            </w:r>
          </w:p>
        </w:tc>
        <w:tc>
          <w:tcPr>
            <w:tcW w:w="720" w:type="dxa"/>
            <w:tcBorders>
              <w:top w:val="nil"/>
              <w:left w:val="nil"/>
              <w:bottom w:val="single" w:sz="4" w:space="0" w:color="auto"/>
              <w:right w:val="single" w:sz="4" w:space="0" w:color="auto"/>
            </w:tcBorders>
            <w:vAlign w:val="bottom"/>
            <w:hideMark/>
          </w:tcPr>
          <w:p w14:paraId="7FFD851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372</w:t>
            </w:r>
          </w:p>
        </w:tc>
        <w:tc>
          <w:tcPr>
            <w:tcW w:w="600" w:type="dxa"/>
            <w:tcBorders>
              <w:top w:val="nil"/>
              <w:left w:val="nil"/>
              <w:bottom w:val="single" w:sz="4" w:space="0" w:color="auto"/>
              <w:right w:val="single" w:sz="4" w:space="0" w:color="auto"/>
            </w:tcBorders>
            <w:vAlign w:val="bottom"/>
            <w:hideMark/>
          </w:tcPr>
          <w:p w14:paraId="3BE8147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w:t>
            </w:r>
          </w:p>
        </w:tc>
        <w:tc>
          <w:tcPr>
            <w:tcW w:w="776" w:type="dxa"/>
            <w:tcBorders>
              <w:top w:val="nil"/>
              <w:left w:val="nil"/>
              <w:bottom w:val="single" w:sz="4" w:space="0" w:color="auto"/>
              <w:right w:val="single" w:sz="4" w:space="0" w:color="auto"/>
            </w:tcBorders>
            <w:vAlign w:val="bottom"/>
            <w:hideMark/>
          </w:tcPr>
          <w:p w14:paraId="51668B0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32</w:t>
            </w:r>
          </w:p>
        </w:tc>
        <w:tc>
          <w:tcPr>
            <w:tcW w:w="551" w:type="dxa"/>
            <w:tcBorders>
              <w:top w:val="nil"/>
              <w:left w:val="nil"/>
              <w:bottom w:val="single" w:sz="4" w:space="0" w:color="auto"/>
              <w:right w:val="single" w:sz="4" w:space="0" w:color="auto"/>
            </w:tcBorders>
            <w:vAlign w:val="bottom"/>
          </w:tcPr>
          <w:p w14:paraId="65F044F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p>
        </w:tc>
        <w:tc>
          <w:tcPr>
            <w:tcW w:w="551" w:type="dxa"/>
            <w:tcBorders>
              <w:top w:val="nil"/>
              <w:left w:val="nil"/>
              <w:bottom w:val="single" w:sz="4" w:space="0" w:color="auto"/>
              <w:right w:val="single" w:sz="4" w:space="0" w:color="auto"/>
            </w:tcBorders>
            <w:vAlign w:val="bottom"/>
            <w:hideMark/>
          </w:tcPr>
          <w:p w14:paraId="4D918A45"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21</w:t>
            </w:r>
          </w:p>
        </w:tc>
        <w:tc>
          <w:tcPr>
            <w:tcW w:w="1052" w:type="dxa"/>
            <w:tcBorders>
              <w:top w:val="nil"/>
              <w:left w:val="nil"/>
              <w:bottom w:val="single" w:sz="4" w:space="0" w:color="auto"/>
              <w:right w:val="single" w:sz="4" w:space="0" w:color="auto"/>
            </w:tcBorders>
            <w:noWrap/>
            <w:vAlign w:val="bottom"/>
            <w:hideMark/>
          </w:tcPr>
          <w:p w14:paraId="6372662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315</w:t>
            </w:r>
          </w:p>
        </w:tc>
        <w:tc>
          <w:tcPr>
            <w:tcW w:w="1273" w:type="dxa"/>
            <w:tcBorders>
              <w:top w:val="nil"/>
              <w:left w:val="nil"/>
              <w:bottom w:val="single" w:sz="4" w:space="0" w:color="auto"/>
              <w:right w:val="single" w:sz="4" w:space="0" w:color="auto"/>
            </w:tcBorders>
            <w:noWrap/>
            <w:vAlign w:val="bottom"/>
            <w:hideMark/>
          </w:tcPr>
          <w:p w14:paraId="36C61EB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91</w:t>
            </w:r>
          </w:p>
        </w:tc>
        <w:tc>
          <w:tcPr>
            <w:tcW w:w="1108" w:type="dxa"/>
            <w:tcBorders>
              <w:top w:val="nil"/>
              <w:left w:val="nil"/>
              <w:bottom w:val="single" w:sz="4" w:space="0" w:color="auto"/>
              <w:right w:val="single" w:sz="4" w:space="0" w:color="auto"/>
            </w:tcBorders>
            <w:noWrap/>
            <w:vAlign w:val="bottom"/>
            <w:hideMark/>
          </w:tcPr>
          <w:p w14:paraId="69953AE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110</w:t>
            </w:r>
          </w:p>
        </w:tc>
      </w:tr>
      <w:tr w:rsidR="008B438E" w:rsidRPr="008B438E" w14:paraId="5BE59F1C"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087D8BF1"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Pine</w:t>
            </w:r>
          </w:p>
        </w:tc>
        <w:tc>
          <w:tcPr>
            <w:tcW w:w="840" w:type="dxa"/>
            <w:tcBorders>
              <w:top w:val="nil"/>
              <w:left w:val="nil"/>
              <w:bottom w:val="single" w:sz="4" w:space="0" w:color="auto"/>
              <w:right w:val="single" w:sz="4" w:space="0" w:color="auto"/>
            </w:tcBorders>
            <w:vAlign w:val="bottom"/>
            <w:hideMark/>
          </w:tcPr>
          <w:p w14:paraId="536E40B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17</w:t>
            </w:r>
          </w:p>
        </w:tc>
        <w:tc>
          <w:tcPr>
            <w:tcW w:w="720" w:type="dxa"/>
            <w:tcBorders>
              <w:top w:val="nil"/>
              <w:left w:val="nil"/>
              <w:bottom w:val="single" w:sz="4" w:space="0" w:color="auto"/>
              <w:right w:val="single" w:sz="4" w:space="0" w:color="auto"/>
            </w:tcBorders>
            <w:vAlign w:val="bottom"/>
            <w:hideMark/>
          </w:tcPr>
          <w:p w14:paraId="47B6889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248</w:t>
            </w:r>
          </w:p>
        </w:tc>
        <w:tc>
          <w:tcPr>
            <w:tcW w:w="600" w:type="dxa"/>
            <w:tcBorders>
              <w:top w:val="nil"/>
              <w:left w:val="nil"/>
              <w:bottom w:val="single" w:sz="4" w:space="0" w:color="auto"/>
              <w:right w:val="single" w:sz="4" w:space="0" w:color="auto"/>
            </w:tcBorders>
            <w:vAlign w:val="bottom"/>
            <w:hideMark/>
          </w:tcPr>
          <w:p w14:paraId="40A32BA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w:t>
            </w:r>
          </w:p>
        </w:tc>
        <w:tc>
          <w:tcPr>
            <w:tcW w:w="776" w:type="dxa"/>
            <w:tcBorders>
              <w:top w:val="nil"/>
              <w:left w:val="nil"/>
              <w:bottom w:val="single" w:sz="4" w:space="0" w:color="auto"/>
              <w:right w:val="single" w:sz="4" w:space="0" w:color="auto"/>
            </w:tcBorders>
            <w:vAlign w:val="bottom"/>
            <w:hideMark/>
          </w:tcPr>
          <w:p w14:paraId="4ECF5A5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22</w:t>
            </w:r>
          </w:p>
        </w:tc>
        <w:tc>
          <w:tcPr>
            <w:tcW w:w="551" w:type="dxa"/>
            <w:tcBorders>
              <w:top w:val="nil"/>
              <w:left w:val="nil"/>
              <w:bottom w:val="single" w:sz="4" w:space="0" w:color="auto"/>
              <w:right w:val="single" w:sz="4" w:space="0" w:color="auto"/>
            </w:tcBorders>
            <w:vAlign w:val="bottom"/>
            <w:hideMark/>
          </w:tcPr>
          <w:p w14:paraId="03CAD624"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16</w:t>
            </w:r>
          </w:p>
        </w:tc>
        <w:tc>
          <w:tcPr>
            <w:tcW w:w="551" w:type="dxa"/>
            <w:tcBorders>
              <w:top w:val="nil"/>
              <w:left w:val="nil"/>
              <w:bottom w:val="single" w:sz="4" w:space="0" w:color="auto"/>
              <w:right w:val="single" w:sz="4" w:space="0" w:color="auto"/>
            </w:tcBorders>
            <w:vAlign w:val="bottom"/>
            <w:hideMark/>
          </w:tcPr>
          <w:p w14:paraId="1785DE9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30</w:t>
            </w:r>
          </w:p>
        </w:tc>
        <w:tc>
          <w:tcPr>
            <w:tcW w:w="1052" w:type="dxa"/>
            <w:tcBorders>
              <w:top w:val="nil"/>
              <w:left w:val="nil"/>
              <w:bottom w:val="single" w:sz="4" w:space="0" w:color="auto"/>
              <w:right w:val="single" w:sz="4" w:space="0" w:color="auto"/>
            </w:tcBorders>
            <w:noWrap/>
            <w:vAlign w:val="bottom"/>
            <w:hideMark/>
          </w:tcPr>
          <w:p w14:paraId="05B8696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204</w:t>
            </w:r>
          </w:p>
        </w:tc>
        <w:tc>
          <w:tcPr>
            <w:tcW w:w="1273" w:type="dxa"/>
            <w:tcBorders>
              <w:top w:val="nil"/>
              <w:left w:val="nil"/>
              <w:bottom w:val="single" w:sz="4" w:space="0" w:color="auto"/>
              <w:right w:val="single" w:sz="4" w:space="0" w:color="auto"/>
            </w:tcBorders>
            <w:noWrap/>
            <w:vAlign w:val="bottom"/>
            <w:hideMark/>
          </w:tcPr>
          <w:p w14:paraId="0EB11AAC"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8</w:t>
            </w:r>
          </w:p>
        </w:tc>
        <w:tc>
          <w:tcPr>
            <w:tcW w:w="1108" w:type="dxa"/>
            <w:tcBorders>
              <w:top w:val="nil"/>
              <w:left w:val="nil"/>
              <w:bottom w:val="single" w:sz="4" w:space="0" w:color="auto"/>
              <w:right w:val="single" w:sz="4" w:space="0" w:color="auto"/>
            </w:tcBorders>
            <w:noWrap/>
            <w:vAlign w:val="bottom"/>
            <w:hideMark/>
          </w:tcPr>
          <w:p w14:paraId="3B58E21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42</w:t>
            </w:r>
          </w:p>
        </w:tc>
      </w:tr>
      <w:tr w:rsidR="008B438E" w:rsidRPr="008B438E" w14:paraId="144672E8"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1315D575"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Sherburne</w:t>
            </w:r>
          </w:p>
        </w:tc>
        <w:tc>
          <w:tcPr>
            <w:tcW w:w="840" w:type="dxa"/>
            <w:tcBorders>
              <w:top w:val="nil"/>
              <w:left w:val="nil"/>
              <w:bottom w:val="single" w:sz="4" w:space="0" w:color="auto"/>
              <w:right w:val="single" w:sz="4" w:space="0" w:color="auto"/>
            </w:tcBorders>
            <w:vAlign w:val="bottom"/>
            <w:hideMark/>
          </w:tcPr>
          <w:p w14:paraId="47AAACA4"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134</w:t>
            </w:r>
          </w:p>
        </w:tc>
        <w:tc>
          <w:tcPr>
            <w:tcW w:w="720" w:type="dxa"/>
            <w:tcBorders>
              <w:top w:val="nil"/>
              <w:left w:val="nil"/>
              <w:bottom w:val="single" w:sz="4" w:space="0" w:color="auto"/>
              <w:right w:val="single" w:sz="4" w:space="0" w:color="auto"/>
            </w:tcBorders>
            <w:vAlign w:val="bottom"/>
            <w:hideMark/>
          </w:tcPr>
          <w:p w14:paraId="79ADDFD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989</w:t>
            </w:r>
          </w:p>
        </w:tc>
        <w:tc>
          <w:tcPr>
            <w:tcW w:w="600" w:type="dxa"/>
            <w:tcBorders>
              <w:top w:val="nil"/>
              <w:left w:val="nil"/>
              <w:bottom w:val="single" w:sz="4" w:space="0" w:color="auto"/>
              <w:right w:val="single" w:sz="4" w:space="0" w:color="auto"/>
            </w:tcBorders>
            <w:vAlign w:val="bottom"/>
            <w:hideMark/>
          </w:tcPr>
          <w:p w14:paraId="1E70901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91</w:t>
            </w:r>
          </w:p>
        </w:tc>
        <w:tc>
          <w:tcPr>
            <w:tcW w:w="776" w:type="dxa"/>
            <w:tcBorders>
              <w:top w:val="nil"/>
              <w:left w:val="nil"/>
              <w:bottom w:val="single" w:sz="4" w:space="0" w:color="auto"/>
              <w:right w:val="single" w:sz="4" w:space="0" w:color="auto"/>
            </w:tcBorders>
            <w:vAlign w:val="bottom"/>
            <w:hideMark/>
          </w:tcPr>
          <w:p w14:paraId="5F54DF0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139</w:t>
            </w:r>
          </w:p>
        </w:tc>
        <w:tc>
          <w:tcPr>
            <w:tcW w:w="551" w:type="dxa"/>
            <w:tcBorders>
              <w:top w:val="nil"/>
              <w:left w:val="nil"/>
              <w:bottom w:val="single" w:sz="4" w:space="0" w:color="auto"/>
              <w:right w:val="single" w:sz="4" w:space="0" w:color="auto"/>
            </w:tcBorders>
            <w:vAlign w:val="bottom"/>
            <w:hideMark/>
          </w:tcPr>
          <w:p w14:paraId="55FD087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107</w:t>
            </w:r>
          </w:p>
        </w:tc>
        <w:tc>
          <w:tcPr>
            <w:tcW w:w="551" w:type="dxa"/>
            <w:tcBorders>
              <w:top w:val="nil"/>
              <w:left w:val="nil"/>
              <w:bottom w:val="single" w:sz="4" w:space="0" w:color="auto"/>
              <w:right w:val="single" w:sz="4" w:space="0" w:color="auto"/>
            </w:tcBorders>
            <w:vAlign w:val="bottom"/>
            <w:hideMark/>
          </w:tcPr>
          <w:p w14:paraId="673B109A"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105</w:t>
            </w:r>
          </w:p>
        </w:tc>
        <w:tc>
          <w:tcPr>
            <w:tcW w:w="1052" w:type="dxa"/>
            <w:tcBorders>
              <w:top w:val="nil"/>
              <w:left w:val="nil"/>
              <w:bottom w:val="single" w:sz="4" w:space="0" w:color="auto"/>
              <w:right w:val="single" w:sz="4" w:space="0" w:color="auto"/>
            </w:tcBorders>
            <w:noWrap/>
            <w:vAlign w:val="bottom"/>
            <w:hideMark/>
          </w:tcPr>
          <w:p w14:paraId="5FF8CD7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601</w:t>
            </w:r>
          </w:p>
        </w:tc>
        <w:tc>
          <w:tcPr>
            <w:tcW w:w="1273" w:type="dxa"/>
            <w:tcBorders>
              <w:top w:val="nil"/>
              <w:left w:val="nil"/>
              <w:bottom w:val="single" w:sz="4" w:space="0" w:color="auto"/>
              <w:right w:val="single" w:sz="4" w:space="0" w:color="auto"/>
            </w:tcBorders>
            <w:noWrap/>
            <w:vAlign w:val="bottom"/>
            <w:hideMark/>
          </w:tcPr>
          <w:p w14:paraId="66EE5EA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56</w:t>
            </w:r>
          </w:p>
        </w:tc>
        <w:tc>
          <w:tcPr>
            <w:tcW w:w="1108" w:type="dxa"/>
            <w:tcBorders>
              <w:top w:val="nil"/>
              <w:left w:val="nil"/>
              <w:bottom w:val="single" w:sz="4" w:space="0" w:color="auto"/>
              <w:right w:val="single" w:sz="4" w:space="0" w:color="auto"/>
            </w:tcBorders>
            <w:noWrap/>
            <w:vAlign w:val="bottom"/>
            <w:hideMark/>
          </w:tcPr>
          <w:p w14:paraId="61B267D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224</w:t>
            </w:r>
          </w:p>
        </w:tc>
      </w:tr>
      <w:tr w:rsidR="008B438E" w:rsidRPr="008B438E" w14:paraId="09CB6D7C"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6DB2F2EA"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Stearns</w:t>
            </w:r>
          </w:p>
        </w:tc>
        <w:tc>
          <w:tcPr>
            <w:tcW w:w="840" w:type="dxa"/>
            <w:tcBorders>
              <w:top w:val="nil"/>
              <w:left w:val="nil"/>
              <w:bottom w:val="single" w:sz="4" w:space="0" w:color="auto"/>
              <w:right w:val="single" w:sz="4" w:space="0" w:color="auto"/>
            </w:tcBorders>
            <w:vAlign w:val="bottom"/>
            <w:hideMark/>
          </w:tcPr>
          <w:p w14:paraId="051DE38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64</w:t>
            </w:r>
          </w:p>
        </w:tc>
        <w:tc>
          <w:tcPr>
            <w:tcW w:w="720" w:type="dxa"/>
            <w:tcBorders>
              <w:top w:val="nil"/>
              <w:left w:val="nil"/>
              <w:bottom w:val="single" w:sz="4" w:space="0" w:color="auto"/>
              <w:right w:val="single" w:sz="4" w:space="0" w:color="auto"/>
            </w:tcBorders>
            <w:vAlign w:val="bottom"/>
            <w:hideMark/>
          </w:tcPr>
          <w:p w14:paraId="66AEC13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1287</w:t>
            </w:r>
          </w:p>
        </w:tc>
        <w:tc>
          <w:tcPr>
            <w:tcW w:w="600" w:type="dxa"/>
            <w:tcBorders>
              <w:top w:val="nil"/>
              <w:left w:val="nil"/>
              <w:bottom w:val="single" w:sz="4" w:space="0" w:color="auto"/>
              <w:right w:val="single" w:sz="4" w:space="0" w:color="auto"/>
            </w:tcBorders>
            <w:vAlign w:val="bottom"/>
            <w:hideMark/>
          </w:tcPr>
          <w:p w14:paraId="5937D2B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25</w:t>
            </w:r>
          </w:p>
        </w:tc>
        <w:tc>
          <w:tcPr>
            <w:tcW w:w="776" w:type="dxa"/>
            <w:tcBorders>
              <w:top w:val="nil"/>
              <w:left w:val="nil"/>
              <w:bottom w:val="single" w:sz="4" w:space="0" w:color="auto"/>
              <w:right w:val="single" w:sz="4" w:space="0" w:color="auto"/>
            </w:tcBorders>
            <w:vAlign w:val="bottom"/>
            <w:hideMark/>
          </w:tcPr>
          <w:p w14:paraId="4D9ABD7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143</w:t>
            </w:r>
          </w:p>
        </w:tc>
        <w:tc>
          <w:tcPr>
            <w:tcW w:w="551" w:type="dxa"/>
            <w:tcBorders>
              <w:top w:val="nil"/>
              <w:left w:val="nil"/>
              <w:bottom w:val="single" w:sz="4" w:space="0" w:color="auto"/>
              <w:right w:val="single" w:sz="4" w:space="0" w:color="auto"/>
            </w:tcBorders>
            <w:vAlign w:val="bottom"/>
            <w:hideMark/>
          </w:tcPr>
          <w:p w14:paraId="4463976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53</w:t>
            </w:r>
          </w:p>
        </w:tc>
        <w:tc>
          <w:tcPr>
            <w:tcW w:w="551" w:type="dxa"/>
            <w:tcBorders>
              <w:top w:val="nil"/>
              <w:left w:val="nil"/>
              <w:bottom w:val="single" w:sz="4" w:space="0" w:color="auto"/>
              <w:right w:val="single" w:sz="4" w:space="0" w:color="auto"/>
            </w:tcBorders>
            <w:vAlign w:val="bottom"/>
            <w:hideMark/>
          </w:tcPr>
          <w:p w14:paraId="3BB36EE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189</w:t>
            </w:r>
          </w:p>
        </w:tc>
        <w:tc>
          <w:tcPr>
            <w:tcW w:w="1052" w:type="dxa"/>
            <w:tcBorders>
              <w:top w:val="nil"/>
              <w:left w:val="nil"/>
              <w:bottom w:val="single" w:sz="4" w:space="0" w:color="auto"/>
              <w:right w:val="single" w:sz="4" w:space="0" w:color="auto"/>
            </w:tcBorders>
            <w:noWrap/>
            <w:vAlign w:val="bottom"/>
            <w:hideMark/>
          </w:tcPr>
          <w:p w14:paraId="6DB3829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958</w:t>
            </w:r>
          </w:p>
        </w:tc>
        <w:tc>
          <w:tcPr>
            <w:tcW w:w="1273" w:type="dxa"/>
            <w:tcBorders>
              <w:top w:val="nil"/>
              <w:left w:val="nil"/>
              <w:bottom w:val="single" w:sz="4" w:space="0" w:color="auto"/>
              <w:right w:val="single" w:sz="4" w:space="0" w:color="auto"/>
            </w:tcBorders>
            <w:noWrap/>
            <w:vAlign w:val="bottom"/>
            <w:hideMark/>
          </w:tcPr>
          <w:p w14:paraId="1AA6BF4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117</w:t>
            </w:r>
          </w:p>
        </w:tc>
        <w:tc>
          <w:tcPr>
            <w:tcW w:w="1108" w:type="dxa"/>
            <w:tcBorders>
              <w:top w:val="nil"/>
              <w:left w:val="nil"/>
              <w:bottom w:val="single" w:sz="4" w:space="0" w:color="auto"/>
              <w:right w:val="single" w:sz="4" w:space="0" w:color="auto"/>
            </w:tcBorders>
            <w:noWrap/>
            <w:vAlign w:val="bottom"/>
            <w:hideMark/>
          </w:tcPr>
          <w:p w14:paraId="0A05564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258</w:t>
            </w:r>
          </w:p>
        </w:tc>
      </w:tr>
      <w:tr w:rsidR="008B438E" w:rsidRPr="008B438E" w14:paraId="7635DEC3"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5C33EE69"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Todd</w:t>
            </w:r>
          </w:p>
        </w:tc>
        <w:tc>
          <w:tcPr>
            <w:tcW w:w="840" w:type="dxa"/>
            <w:tcBorders>
              <w:top w:val="nil"/>
              <w:left w:val="nil"/>
              <w:bottom w:val="single" w:sz="4" w:space="0" w:color="auto"/>
              <w:right w:val="single" w:sz="4" w:space="0" w:color="auto"/>
            </w:tcBorders>
            <w:vAlign w:val="bottom"/>
            <w:hideMark/>
          </w:tcPr>
          <w:p w14:paraId="4F4E0D1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23</w:t>
            </w:r>
          </w:p>
        </w:tc>
        <w:tc>
          <w:tcPr>
            <w:tcW w:w="720" w:type="dxa"/>
            <w:tcBorders>
              <w:top w:val="nil"/>
              <w:left w:val="nil"/>
              <w:bottom w:val="single" w:sz="4" w:space="0" w:color="auto"/>
              <w:right w:val="single" w:sz="4" w:space="0" w:color="auto"/>
            </w:tcBorders>
            <w:vAlign w:val="bottom"/>
            <w:hideMark/>
          </w:tcPr>
          <w:p w14:paraId="0059B24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204</w:t>
            </w:r>
          </w:p>
        </w:tc>
        <w:tc>
          <w:tcPr>
            <w:tcW w:w="600" w:type="dxa"/>
            <w:tcBorders>
              <w:top w:val="nil"/>
              <w:left w:val="nil"/>
              <w:bottom w:val="single" w:sz="4" w:space="0" w:color="auto"/>
              <w:right w:val="single" w:sz="4" w:space="0" w:color="auto"/>
            </w:tcBorders>
            <w:vAlign w:val="bottom"/>
            <w:hideMark/>
          </w:tcPr>
          <w:p w14:paraId="0C19361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10</w:t>
            </w:r>
          </w:p>
        </w:tc>
        <w:tc>
          <w:tcPr>
            <w:tcW w:w="776" w:type="dxa"/>
            <w:tcBorders>
              <w:top w:val="nil"/>
              <w:left w:val="nil"/>
              <w:bottom w:val="single" w:sz="4" w:space="0" w:color="auto"/>
              <w:right w:val="single" w:sz="4" w:space="0" w:color="auto"/>
            </w:tcBorders>
            <w:vAlign w:val="bottom"/>
            <w:hideMark/>
          </w:tcPr>
          <w:p w14:paraId="3E3D0A9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20</w:t>
            </w:r>
          </w:p>
        </w:tc>
        <w:tc>
          <w:tcPr>
            <w:tcW w:w="551" w:type="dxa"/>
            <w:tcBorders>
              <w:top w:val="nil"/>
              <w:left w:val="nil"/>
              <w:bottom w:val="single" w:sz="4" w:space="0" w:color="auto"/>
              <w:right w:val="single" w:sz="4" w:space="0" w:color="auto"/>
            </w:tcBorders>
            <w:vAlign w:val="bottom"/>
            <w:hideMark/>
          </w:tcPr>
          <w:p w14:paraId="46CB285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13</w:t>
            </w:r>
          </w:p>
        </w:tc>
        <w:tc>
          <w:tcPr>
            <w:tcW w:w="551" w:type="dxa"/>
            <w:tcBorders>
              <w:top w:val="nil"/>
              <w:left w:val="nil"/>
              <w:bottom w:val="single" w:sz="4" w:space="0" w:color="auto"/>
              <w:right w:val="single" w:sz="4" w:space="0" w:color="auto"/>
            </w:tcBorders>
            <w:vAlign w:val="bottom"/>
            <w:hideMark/>
          </w:tcPr>
          <w:p w14:paraId="7AD7940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43</w:t>
            </w:r>
          </w:p>
        </w:tc>
        <w:tc>
          <w:tcPr>
            <w:tcW w:w="1052" w:type="dxa"/>
            <w:tcBorders>
              <w:top w:val="nil"/>
              <w:left w:val="nil"/>
              <w:bottom w:val="single" w:sz="4" w:space="0" w:color="auto"/>
              <w:right w:val="single" w:sz="4" w:space="0" w:color="auto"/>
            </w:tcBorders>
            <w:noWrap/>
            <w:vAlign w:val="bottom"/>
            <w:hideMark/>
          </w:tcPr>
          <w:p w14:paraId="3B57BFFE"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170</w:t>
            </w:r>
          </w:p>
        </w:tc>
        <w:tc>
          <w:tcPr>
            <w:tcW w:w="1273" w:type="dxa"/>
            <w:tcBorders>
              <w:top w:val="nil"/>
              <w:left w:val="nil"/>
              <w:bottom w:val="single" w:sz="4" w:space="0" w:color="auto"/>
              <w:right w:val="single" w:sz="4" w:space="0" w:color="auto"/>
            </w:tcBorders>
            <w:noWrap/>
            <w:vAlign w:val="bottom"/>
            <w:hideMark/>
          </w:tcPr>
          <w:p w14:paraId="306D441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36</w:t>
            </w:r>
          </w:p>
        </w:tc>
        <w:tc>
          <w:tcPr>
            <w:tcW w:w="1108" w:type="dxa"/>
            <w:tcBorders>
              <w:top w:val="nil"/>
              <w:left w:val="nil"/>
              <w:bottom w:val="single" w:sz="4" w:space="0" w:color="auto"/>
              <w:right w:val="single" w:sz="4" w:space="0" w:color="auto"/>
            </w:tcBorders>
            <w:noWrap/>
            <w:vAlign w:val="bottom"/>
            <w:hideMark/>
          </w:tcPr>
          <w:p w14:paraId="6ADB32B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53</w:t>
            </w:r>
          </w:p>
        </w:tc>
      </w:tr>
      <w:tr w:rsidR="008B438E" w:rsidRPr="008B438E" w14:paraId="7956E056"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0BAFCCEA"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Wadena</w:t>
            </w:r>
          </w:p>
        </w:tc>
        <w:tc>
          <w:tcPr>
            <w:tcW w:w="840" w:type="dxa"/>
            <w:tcBorders>
              <w:top w:val="nil"/>
              <w:left w:val="nil"/>
              <w:bottom w:val="single" w:sz="4" w:space="0" w:color="auto"/>
              <w:right w:val="single" w:sz="4" w:space="0" w:color="auto"/>
            </w:tcBorders>
            <w:vAlign w:val="bottom"/>
            <w:hideMark/>
          </w:tcPr>
          <w:p w14:paraId="7254DA0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8</w:t>
            </w:r>
          </w:p>
        </w:tc>
        <w:tc>
          <w:tcPr>
            <w:tcW w:w="720" w:type="dxa"/>
            <w:tcBorders>
              <w:top w:val="nil"/>
              <w:left w:val="nil"/>
              <w:bottom w:val="single" w:sz="4" w:space="0" w:color="auto"/>
              <w:right w:val="single" w:sz="4" w:space="0" w:color="auto"/>
            </w:tcBorders>
            <w:vAlign w:val="bottom"/>
            <w:hideMark/>
          </w:tcPr>
          <w:p w14:paraId="3C3D91D7"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221</w:t>
            </w:r>
          </w:p>
        </w:tc>
        <w:tc>
          <w:tcPr>
            <w:tcW w:w="600" w:type="dxa"/>
            <w:tcBorders>
              <w:top w:val="nil"/>
              <w:left w:val="nil"/>
              <w:bottom w:val="single" w:sz="4" w:space="0" w:color="auto"/>
              <w:right w:val="single" w:sz="4" w:space="0" w:color="auto"/>
            </w:tcBorders>
            <w:vAlign w:val="bottom"/>
          </w:tcPr>
          <w:p w14:paraId="2110C7A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p>
        </w:tc>
        <w:tc>
          <w:tcPr>
            <w:tcW w:w="776" w:type="dxa"/>
            <w:tcBorders>
              <w:top w:val="nil"/>
              <w:left w:val="nil"/>
              <w:bottom w:val="single" w:sz="4" w:space="0" w:color="auto"/>
              <w:right w:val="single" w:sz="4" w:space="0" w:color="auto"/>
            </w:tcBorders>
            <w:vAlign w:val="bottom"/>
            <w:hideMark/>
          </w:tcPr>
          <w:p w14:paraId="1BC78C9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17</w:t>
            </w:r>
          </w:p>
        </w:tc>
        <w:tc>
          <w:tcPr>
            <w:tcW w:w="551" w:type="dxa"/>
            <w:tcBorders>
              <w:top w:val="nil"/>
              <w:left w:val="nil"/>
              <w:bottom w:val="single" w:sz="4" w:space="0" w:color="auto"/>
              <w:right w:val="single" w:sz="4" w:space="0" w:color="auto"/>
            </w:tcBorders>
            <w:vAlign w:val="bottom"/>
            <w:hideMark/>
          </w:tcPr>
          <w:p w14:paraId="51691E3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8</w:t>
            </w:r>
          </w:p>
        </w:tc>
        <w:tc>
          <w:tcPr>
            <w:tcW w:w="551" w:type="dxa"/>
            <w:tcBorders>
              <w:top w:val="nil"/>
              <w:left w:val="nil"/>
              <w:bottom w:val="single" w:sz="4" w:space="0" w:color="auto"/>
              <w:right w:val="single" w:sz="4" w:space="0" w:color="auto"/>
            </w:tcBorders>
            <w:vAlign w:val="bottom"/>
            <w:hideMark/>
          </w:tcPr>
          <w:p w14:paraId="48B85DD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86</w:t>
            </w:r>
          </w:p>
        </w:tc>
        <w:tc>
          <w:tcPr>
            <w:tcW w:w="1052" w:type="dxa"/>
            <w:tcBorders>
              <w:top w:val="nil"/>
              <w:left w:val="nil"/>
              <w:bottom w:val="single" w:sz="4" w:space="0" w:color="auto"/>
              <w:right w:val="single" w:sz="4" w:space="0" w:color="auto"/>
            </w:tcBorders>
            <w:noWrap/>
            <w:vAlign w:val="bottom"/>
            <w:hideMark/>
          </w:tcPr>
          <w:p w14:paraId="63F5271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1702</w:t>
            </w:r>
          </w:p>
        </w:tc>
        <w:tc>
          <w:tcPr>
            <w:tcW w:w="1273" w:type="dxa"/>
            <w:tcBorders>
              <w:top w:val="nil"/>
              <w:left w:val="nil"/>
              <w:bottom w:val="single" w:sz="4" w:space="0" w:color="auto"/>
              <w:right w:val="single" w:sz="4" w:space="0" w:color="auto"/>
            </w:tcBorders>
            <w:noWrap/>
            <w:vAlign w:val="bottom"/>
            <w:hideMark/>
          </w:tcPr>
          <w:p w14:paraId="4EE8C431"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71</w:t>
            </w:r>
          </w:p>
        </w:tc>
        <w:tc>
          <w:tcPr>
            <w:tcW w:w="1108" w:type="dxa"/>
            <w:tcBorders>
              <w:top w:val="nil"/>
              <w:left w:val="nil"/>
              <w:bottom w:val="single" w:sz="4" w:space="0" w:color="auto"/>
              <w:right w:val="single" w:sz="4" w:space="0" w:color="auto"/>
            </w:tcBorders>
            <w:noWrap/>
            <w:vAlign w:val="bottom"/>
            <w:hideMark/>
          </w:tcPr>
          <w:p w14:paraId="52BB5FC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79</w:t>
            </w:r>
          </w:p>
        </w:tc>
      </w:tr>
      <w:tr w:rsidR="008B438E" w:rsidRPr="008B438E" w14:paraId="66F9113B" w14:textId="77777777" w:rsidTr="008B438E">
        <w:trPr>
          <w:trHeight w:val="280"/>
        </w:trPr>
        <w:tc>
          <w:tcPr>
            <w:tcW w:w="1560" w:type="dxa"/>
            <w:tcBorders>
              <w:top w:val="nil"/>
              <w:left w:val="nil"/>
              <w:bottom w:val="single" w:sz="4" w:space="0" w:color="auto"/>
              <w:right w:val="single" w:sz="4" w:space="0" w:color="auto"/>
            </w:tcBorders>
            <w:shd w:val="clear" w:color="auto" w:fill="D9E288"/>
            <w:noWrap/>
            <w:vAlign w:val="bottom"/>
            <w:hideMark/>
          </w:tcPr>
          <w:p w14:paraId="14E92B2C" w14:textId="77777777" w:rsidR="008B438E" w:rsidRPr="008B438E" w:rsidRDefault="008B438E" w:rsidP="00824A48">
            <w:pPr>
              <w:spacing w:after="0" w:line="276" w:lineRule="auto"/>
              <w:ind w:left="0" w:right="0"/>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Wright</w:t>
            </w:r>
          </w:p>
        </w:tc>
        <w:tc>
          <w:tcPr>
            <w:tcW w:w="840" w:type="dxa"/>
            <w:tcBorders>
              <w:top w:val="nil"/>
              <w:left w:val="nil"/>
              <w:bottom w:val="single" w:sz="4" w:space="0" w:color="auto"/>
              <w:right w:val="single" w:sz="4" w:space="0" w:color="auto"/>
            </w:tcBorders>
            <w:vAlign w:val="bottom"/>
            <w:hideMark/>
          </w:tcPr>
          <w:p w14:paraId="5029E810"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72</w:t>
            </w:r>
          </w:p>
        </w:tc>
        <w:tc>
          <w:tcPr>
            <w:tcW w:w="720" w:type="dxa"/>
            <w:tcBorders>
              <w:top w:val="nil"/>
              <w:left w:val="nil"/>
              <w:bottom w:val="single" w:sz="4" w:space="0" w:color="auto"/>
              <w:right w:val="single" w:sz="4" w:space="0" w:color="auto"/>
            </w:tcBorders>
            <w:vAlign w:val="bottom"/>
            <w:hideMark/>
          </w:tcPr>
          <w:p w14:paraId="72B886AD"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1216</w:t>
            </w:r>
          </w:p>
        </w:tc>
        <w:tc>
          <w:tcPr>
            <w:tcW w:w="600" w:type="dxa"/>
            <w:tcBorders>
              <w:top w:val="nil"/>
              <w:left w:val="nil"/>
              <w:bottom w:val="single" w:sz="4" w:space="0" w:color="auto"/>
              <w:right w:val="single" w:sz="4" w:space="0" w:color="auto"/>
            </w:tcBorders>
            <w:vAlign w:val="bottom"/>
            <w:hideMark/>
          </w:tcPr>
          <w:p w14:paraId="2C138506"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72</w:t>
            </w:r>
          </w:p>
        </w:tc>
        <w:tc>
          <w:tcPr>
            <w:tcW w:w="776" w:type="dxa"/>
            <w:tcBorders>
              <w:top w:val="nil"/>
              <w:left w:val="nil"/>
              <w:bottom w:val="single" w:sz="4" w:space="0" w:color="auto"/>
              <w:right w:val="single" w:sz="4" w:space="0" w:color="auto"/>
            </w:tcBorders>
            <w:vAlign w:val="bottom"/>
            <w:hideMark/>
          </w:tcPr>
          <w:p w14:paraId="03E2F97F"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154</w:t>
            </w:r>
          </w:p>
        </w:tc>
        <w:tc>
          <w:tcPr>
            <w:tcW w:w="551" w:type="dxa"/>
            <w:tcBorders>
              <w:top w:val="nil"/>
              <w:left w:val="nil"/>
              <w:bottom w:val="single" w:sz="4" w:space="0" w:color="auto"/>
              <w:right w:val="single" w:sz="4" w:space="0" w:color="auto"/>
            </w:tcBorders>
            <w:vAlign w:val="bottom"/>
          </w:tcPr>
          <w:p w14:paraId="358A2719"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p>
        </w:tc>
        <w:tc>
          <w:tcPr>
            <w:tcW w:w="551" w:type="dxa"/>
            <w:tcBorders>
              <w:top w:val="nil"/>
              <w:left w:val="nil"/>
              <w:bottom w:val="single" w:sz="4" w:space="0" w:color="auto"/>
              <w:right w:val="single" w:sz="4" w:space="0" w:color="auto"/>
            </w:tcBorders>
            <w:vAlign w:val="bottom"/>
            <w:hideMark/>
          </w:tcPr>
          <w:p w14:paraId="100AB922"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90</w:t>
            </w:r>
          </w:p>
        </w:tc>
        <w:tc>
          <w:tcPr>
            <w:tcW w:w="1052" w:type="dxa"/>
            <w:tcBorders>
              <w:top w:val="nil"/>
              <w:left w:val="nil"/>
              <w:bottom w:val="single" w:sz="4" w:space="0" w:color="auto"/>
              <w:right w:val="single" w:sz="4" w:space="0" w:color="auto"/>
            </w:tcBorders>
            <w:noWrap/>
            <w:vAlign w:val="bottom"/>
            <w:hideMark/>
          </w:tcPr>
          <w:p w14:paraId="066D1908"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1021</w:t>
            </w:r>
          </w:p>
        </w:tc>
        <w:tc>
          <w:tcPr>
            <w:tcW w:w="1273" w:type="dxa"/>
            <w:tcBorders>
              <w:top w:val="nil"/>
              <w:left w:val="nil"/>
              <w:bottom w:val="single" w:sz="4" w:space="0" w:color="auto"/>
              <w:right w:val="single" w:sz="4" w:space="0" w:color="auto"/>
            </w:tcBorders>
            <w:noWrap/>
            <w:vAlign w:val="bottom"/>
            <w:hideMark/>
          </w:tcPr>
          <w:p w14:paraId="22660CEB"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147</w:t>
            </w:r>
          </w:p>
        </w:tc>
        <w:tc>
          <w:tcPr>
            <w:tcW w:w="1108" w:type="dxa"/>
            <w:tcBorders>
              <w:top w:val="nil"/>
              <w:left w:val="nil"/>
              <w:bottom w:val="single" w:sz="4" w:space="0" w:color="auto"/>
              <w:right w:val="single" w:sz="4" w:space="0" w:color="auto"/>
            </w:tcBorders>
            <w:noWrap/>
            <w:vAlign w:val="bottom"/>
            <w:hideMark/>
          </w:tcPr>
          <w:p w14:paraId="400A5203" w14:textId="77777777" w:rsidR="008B438E" w:rsidRPr="008B438E" w:rsidRDefault="008B438E" w:rsidP="00824A48">
            <w:pPr>
              <w:spacing w:after="0" w:line="276" w:lineRule="auto"/>
              <w:ind w:left="0" w:right="0"/>
              <w:jc w:val="right"/>
              <w:rPr>
                <w:rFonts w:ascii="Calibri" w:eastAsia="Times New Roman" w:hAnsi="Calibri" w:cs="Calibri"/>
                <w:color w:val="000000"/>
                <w:kern w:val="0"/>
                <w:sz w:val="22"/>
                <w:lang w:eastAsia="en-US" w:bidi="en-US"/>
                <w14:ligatures w14:val="none"/>
              </w:rPr>
            </w:pPr>
            <w:r w:rsidRPr="008B438E">
              <w:rPr>
                <w:rFonts w:ascii="Calibri" w:eastAsia="Times New Roman" w:hAnsi="Calibri" w:cs="Calibri"/>
                <w:color w:val="000000"/>
                <w:kern w:val="0"/>
                <w:sz w:val="22"/>
                <w:lang w:eastAsia="en-US" w:bidi="en-US"/>
                <w14:ligatures w14:val="none"/>
              </w:rPr>
              <w:t>388</w:t>
            </w:r>
          </w:p>
        </w:tc>
      </w:tr>
      <w:tr w:rsidR="008B438E" w:rsidRPr="008B438E" w14:paraId="18D1AF70" w14:textId="77777777" w:rsidTr="008B438E">
        <w:trPr>
          <w:trHeight w:val="280"/>
        </w:trPr>
        <w:tc>
          <w:tcPr>
            <w:tcW w:w="1560" w:type="dxa"/>
            <w:tcBorders>
              <w:top w:val="nil"/>
              <w:left w:val="nil"/>
              <w:bottom w:val="nil"/>
              <w:right w:val="single" w:sz="4" w:space="0" w:color="auto"/>
            </w:tcBorders>
            <w:shd w:val="clear" w:color="auto" w:fill="D9E288"/>
            <w:noWrap/>
            <w:vAlign w:val="bottom"/>
            <w:hideMark/>
          </w:tcPr>
          <w:p w14:paraId="7C1703F5" w14:textId="77777777" w:rsidR="008B438E" w:rsidRPr="008B438E" w:rsidRDefault="008B438E" w:rsidP="00824A48">
            <w:pPr>
              <w:spacing w:after="0" w:line="276" w:lineRule="auto"/>
              <w:ind w:left="0" w:right="0"/>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Totals</w:t>
            </w:r>
          </w:p>
        </w:tc>
        <w:tc>
          <w:tcPr>
            <w:tcW w:w="840" w:type="dxa"/>
            <w:tcBorders>
              <w:top w:val="nil"/>
              <w:left w:val="nil"/>
              <w:bottom w:val="nil"/>
              <w:right w:val="single" w:sz="4" w:space="0" w:color="auto"/>
            </w:tcBorders>
            <w:shd w:val="clear" w:color="auto" w:fill="D9E288"/>
            <w:noWrap/>
            <w:vAlign w:val="bottom"/>
            <w:hideMark/>
          </w:tcPr>
          <w:p w14:paraId="19FFD40E"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614</w:t>
            </w:r>
          </w:p>
        </w:tc>
        <w:tc>
          <w:tcPr>
            <w:tcW w:w="720" w:type="dxa"/>
            <w:tcBorders>
              <w:top w:val="nil"/>
              <w:left w:val="nil"/>
              <w:bottom w:val="nil"/>
              <w:right w:val="single" w:sz="4" w:space="0" w:color="auto"/>
            </w:tcBorders>
            <w:shd w:val="clear" w:color="auto" w:fill="D9E288"/>
            <w:vAlign w:val="bottom"/>
            <w:hideMark/>
          </w:tcPr>
          <w:p w14:paraId="0676CEEB"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7372</w:t>
            </w:r>
          </w:p>
        </w:tc>
        <w:tc>
          <w:tcPr>
            <w:tcW w:w="600" w:type="dxa"/>
            <w:tcBorders>
              <w:top w:val="nil"/>
              <w:left w:val="nil"/>
              <w:bottom w:val="nil"/>
              <w:right w:val="single" w:sz="4" w:space="0" w:color="auto"/>
            </w:tcBorders>
            <w:shd w:val="clear" w:color="auto" w:fill="D9E288"/>
            <w:noWrap/>
            <w:vAlign w:val="bottom"/>
            <w:hideMark/>
          </w:tcPr>
          <w:p w14:paraId="16ECB8D5"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426</w:t>
            </w:r>
          </w:p>
        </w:tc>
        <w:tc>
          <w:tcPr>
            <w:tcW w:w="776" w:type="dxa"/>
            <w:tcBorders>
              <w:top w:val="nil"/>
              <w:left w:val="nil"/>
              <w:bottom w:val="nil"/>
              <w:right w:val="single" w:sz="4" w:space="0" w:color="auto"/>
            </w:tcBorders>
            <w:shd w:val="clear" w:color="auto" w:fill="D9E288"/>
            <w:vAlign w:val="bottom"/>
            <w:hideMark/>
          </w:tcPr>
          <w:p w14:paraId="127B8458"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799</w:t>
            </w:r>
          </w:p>
        </w:tc>
        <w:tc>
          <w:tcPr>
            <w:tcW w:w="551" w:type="dxa"/>
            <w:tcBorders>
              <w:top w:val="nil"/>
              <w:left w:val="nil"/>
              <w:bottom w:val="nil"/>
              <w:right w:val="single" w:sz="4" w:space="0" w:color="auto"/>
            </w:tcBorders>
            <w:shd w:val="clear" w:color="auto" w:fill="D9E288"/>
            <w:noWrap/>
            <w:vAlign w:val="bottom"/>
            <w:hideMark/>
          </w:tcPr>
          <w:p w14:paraId="2790E9F4"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320</w:t>
            </w:r>
          </w:p>
        </w:tc>
        <w:tc>
          <w:tcPr>
            <w:tcW w:w="551" w:type="dxa"/>
            <w:tcBorders>
              <w:top w:val="nil"/>
              <w:left w:val="nil"/>
              <w:bottom w:val="nil"/>
              <w:right w:val="single" w:sz="4" w:space="0" w:color="auto"/>
            </w:tcBorders>
            <w:shd w:val="clear" w:color="auto" w:fill="D9E288"/>
            <w:vAlign w:val="bottom"/>
            <w:hideMark/>
          </w:tcPr>
          <w:p w14:paraId="7D6C0224"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886</w:t>
            </w:r>
          </w:p>
        </w:tc>
        <w:tc>
          <w:tcPr>
            <w:tcW w:w="1052" w:type="dxa"/>
            <w:tcBorders>
              <w:top w:val="nil"/>
              <w:left w:val="nil"/>
              <w:bottom w:val="nil"/>
              <w:right w:val="single" w:sz="4" w:space="0" w:color="auto"/>
            </w:tcBorders>
            <w:shd w:val="clear" w:color="auto" w:fill="D9E288"/>
            <w:noWrap/>
            <w:vAlign w:val="bottom"/>
            <w:hideMark/>
          </w:tcPr>
          <w:p w14:paraId="339B0A60"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5800</w:t>
            </w:r>
          </w:p>
        </w:tc>
        <w:tc>
          <w:tcPr>
            <w:tcW w:w="1273" w:type="dxa"/>
            <w:tcBorders>
              <w:top w:val="nil"/>
              <w:left w:val="nil"/>
              <w:bottom w:val="nil"/>
              <w:right w:val="single" w:sz="4" w:space="0" w:color="auto"/>
            </w:tcBorders>
            <w:shd w:val="clear" w:color="auto" w:fill="D9E288"/>
            <w:noWrap/>
            <w:vAlign w:val="bottom"/>
            <w:hideMark/>
          </w:tcPr>
          <w:p w14:paraId="5DE9E2E9"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749</w:t>
            </w:r>
          </w:p>
        </w:tc>
        <w:tc>
          <w:tcPr>
            <w:tcW w:w="1108" w:type="dxa"/>
            <w:tcBorders>
              <w:top w:val="nil"/>
              <w:left w:val="nil"/>
              <w:bottom w:val="nil"/>
              <w:right w:val="single" w:sz="4" w:space="0" w:color="auto"/>
            </w:tcBorders>
            <w:shd w:val="clear" w:color="auto" w:fill="D9E288"/>
            <w:noWrap/>
            <w:vAlign w:val="bottom"/>
            <w:hideMark/>
          </w:tcPr>
          <w:p w14:paraId="70B2DCE8" w14:textId="77777777" w:rsidR="008B438E" w:rsidRPr="008B438E" w:rsidRDefault="008B438E" w:rsidP="00824A48">
            <w:pPr>
              <w:spacing w:after="0" w:line="276" w:lineRule="auto"/>
              <w:ind w:left="0" w:right="0"/>
              <w:jc w:val="right"/>
              <w:rPr>
                <w:rFonts w:ascii="Calibri" w:eastAsia="Times New Roman" w:hAnsi="Calibri" w:cs="Calibri"/>
                <w:b/>
                <w:bCs/>
                <w:color w:val="000000"/>
                <w:kern w:val="0"/>
                <w:sz w:val="22"/>
                <w:lang w:eastAsia="en-US" w:bidi="en-US"/>
                <w14:ligatures w14:val="none"/>
              </w:rPr>
            </w:pPr>
            <w:r w:rsidRPr="008B438E">
              <w:rPr>
                <w:rFonts w:ascii="Calibri" w:eastAsia="Times New Roman" w:hAnsi="Calibri" w:cs="Calibri"/>
                <w:b/>
                <w:bCs/>
                <w:color w:val="000000"/>
                <w:kern w:val="0"/>
                <w:sz w:val="22"/>
                <w:lang w:eastAsia="en-US" w:bidi="en-US"/>
                <w14:ligatures w14:val="none"/>
              </w:rPr>
              <w:t>1781</w:t>
            </w:r>
          </w:p>
        </w:tc>
      </w:tr>
    </w:tbl>
    <w:p w14:paraId="3F44189B" w14:textId="77777777" w:rsidR="008B438E" w:rsidRPr="008B438E" w:rsidRDefault="008B438E" w:rsidP="00824A48">
      <w:pPr>
        <w:spacing w:before="120" w:line="276" w:lineRule="auto"/>
        <w:ind w:left="0" w:right="0"/>
        <w:rPr>
          <w:rFonts w:ascii="Calibri" w:eastAsia="Times New Roman" w:hAnsi="Calibri" w:cs="Times New Roman"/>
          <w:kern w:val="0"/>
          <w:sz w:val="20"/>
          <w:szCs w:val="20"/>
          <w:lang w:eastAsia="en-US" w:bidi="en-US"/>
          <w14:ligatures w14:val="none"/>
        </w:rPr>
      </w:pPr>
      <w:r w:rsidRPr="008B438E">
        <w:rPr>
          <w:rFonts w:ascii="Calibri" w:eastAsia="Times New Roman" w:hAnsi="Calibri" w:cs="Times New Roman"/>
          <w:kern w:val="0"/>
          <w:sz w:val="22"/>
          <w:lang w:eastAsia="en-US" w:bidi="en-US"/>
          <w14:ligatures w14:val="none"/>
        </w:rPr>
        <w:t xml:space="preserve">  Data collected from:  </w:t>
      </w:r>
      <w:hyperlink r:id="rId14" w:history="1">
        <w:r w:rsidRPr="008B438E">
          <w:rPr>
            <w:rFonts w:ascii="Calibri" w:eastAsia="Times New Roman" w:hAnsi="Calibri" w:cs="Times New Roman"/>
            <w:i/>
            <w:iCs/>
            <w:color w:val="6B9F25"/>
            <w:kern w:val="0"/>
            <w:sz w:val="22"/>
            <w:u w:val="single"/>
            <w:lang w:eastAsia="en-US" w:bidi="en-US"/>
            <w14:ligatures w14:val="none"/>
          </w:rPr>
          <w:t>http://w20.education.state.mn.us/MDEAnalytics/Data.jsp</w:t>
        </w:r>
      </w:hyperlink>
    </w:p>
    <w:p w14:paraId="3270BFA3"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 Information obtained 08/30/2019 (Blank spaces were unreported)</w:t>
      </w:r>
    </w:p>
    <w:p w14:paraId="2A749513" w14:textId="77777777" w:rsidR="008B438E" w:rsidRPr="008B438E" w:rsidRDefault="008B438E" w:rsidP="00824A48">
      <w:pPr>
        <w:keepNext/>
        <w:keepLines/>
        <w:spacing w:before="240" w:line="276" w:lineRule="auto"/>
        <w:ind w:left="0" w:right="0"/>
        <w:outlineLvl w:val="1"/>
        <w:rPr>
          <w:rFonts w:ascii="Calibri" w:eastAsia="Calibri" w:hAnsi="Calibri" w:cs="Times New Roman"/>
          <w:b/>
          <w:kern w:val="0"/>
          <w:sz w:val="28"/>
          <w:szCs w:val="32"/>
          <w14:ligatures w14:val="none"/>
        </w:rPr>
      </w:pPr>
      <w:bookmarkStart w:id="8" w:name="_Toc99650077"/>
      <w:bookmarkStart w:id="9" w:name="_Toc103710307"/>
      <w:r w:rsidRPr="008B438E">
        <w:rPr>
          <w:rFonts w:ascii="Calibri" w:eastAsia="Calibri" w:hAnsi="Calibri" w:cs="Times New Roman"/>
          <w:b/>
          <w:kern w:val="0"/>
          <w:sz w:val="28"/>
          <w:szCs w:val="32"/>
          <w14:ligatures w14:val="none"/>
        </w:rPr>
        <w:t>Pediatric Plan Activation</w:t>
      </w:r>
      <w:bookmarkEnd w:id="8"/>
      <w:bookmarkEnd w:id="9"/>
    </w:p>
    <w:p w14:paraId="5587D0F8"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Activation of the pediatric surge plan could occur in two ways:</w:t>
      </w:r>
    </w:p>
    <w:p w14:paraId="5668967B" w14:textId="77777777" w:rsidR="008B438E" w:rsidRPr="00DE44AF" w:rsidRDefault="008B438E" w:rsidP="00DE44AF">
      <w:pPr>
        <w:pStyle w:val="ListParagraph"/>
        <w:numPr>
          <w:ilvl w:val="0"/>
          <w:numId w:val="42"/>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An incident occurs within the Central region resulting in a pediatric surge and a hospital within the region notifies the Regional Healthcare Preparedness Coordinator (RHPC);</w:t>
      </w:r>
    </w:p>
    <w:p w14:paraId="0561C51A" w14:textId="77777777" w:rsidR="008B438E" w:rsidRPr="00DE44AF" w:rsidRDefault="008B438E" w:rsidP="00DE44AF">
      <w:pPr>
        <w:pStyle w:val="ListParagraph"/>
        <w:numPr>
          <w:ilvl w:val="0"/>
          <w:numId w:val="42"/>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 xml:space="preserve">A pediatric surge event occurs outside the Central Region and the RHPC is notified through a </w:t>
      </w:r>
      <w:r w:rsidRPr="00DE44AF">
        <w:rPr>
          <w:rFonts w:ascii="Calibri" w:eastAsia="Times New Roman" w:hAnsi="Calibri" w:cs="Times New Roman"/>
          <w:lang w:bidi="en-US"/>
        </w:rPr>
        <w:lastRenderedPageBreak/>
        <w:t xml:space="preserve">contact via a MNTrac alert or direct contact from the RHPC in a different region. </w:t>
      </w:r>
    </w:p>
    <w:p w14:paraId="12D336D0"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When an incident occurs resulting in pediatric victims, the initial response should follow local surge plans. Local hospitals and EMS agencies should assess: </w:t>
      </w:r>
    </w:p>
    <w:p w14:paraId="4BEA7E29" w14:textId="77777777" w:rsidR="008B438E" w:rsidRPr="00DE44AF" w:rsidRDefault="008B438E" w:rsidP="00DE44AF">
      <w:pPr>
        <w:pStyle w:val="ListParagraph"/>
        <w:numPr>
          <w:ilvl w:val="0"/>
          <w:numId w:val="43"/>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 xml:space="preserve">Scope and magnitude of the incident, </w:t>
      </w:r>
    </w:p>
    <w:p w14:paraId="7DF6D85C" w14:textId="77777777" w:rsidR="008B438E" w:rsidRPr="00DE44AF" w:rsidRDefault="008B438E" w:rsidP="00DE44AF">
      <w:pPr>
        <w:pStyle w:val="ListParagraph"/>
        <w:numPr>
          <w:ilvl w:val="0"/>
          <w:numId w:val="43"/>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 xml:space="preserve">Estimate the influx of patients and the real or potential impact on the local health care system, </w:t>
      </w:r>
    </w:p>
    <w:p w14:paraId="01D75017" w14:textId="77777777" w:rsidR="008B438E" w:rsidRPr="00DE44AF" w:rsidRDefault="008B438E" w:rsidP="00DE44AF">
      <w:pPr>
        <w:pStyle w:val="ListParagraph"/>
        <w:numPr>
          <w:ilvl w:val="0"/>
          <w:numId w:val="43"/>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 xml:space="preserve">Consider special response needs (e.g., infectious disease, hazardous materials, etc.), and </w:t>
      </w:r>
    </w:p>
    <w:p w14:paraId="3C282FD6" w14:textId="77777777" w:rsidR="008B438E" w:rsidRPr="00DE44AF" w:rsidRDefault="008B438E" w:rsidP="00DE44AF">
      <w:pPr>
        <w:pStyle w:val="ListParagraph"/>
        <w:numPr>
          <w:ilvl w:val="0"/>
          <w:numId w:val="43"/>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 xml:space="preserve">Need for Internal emergency response plan activation. </w:t>
      </w:r>
    </w:p>
    <w:p w14:paraId="6CC00866"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The referring hospital will notify the pediatric trauma center they typically utilize and advise them of the situation. If the designated pediatric trauma center activates their internal surge plan, they are responsible to request activation of the Minnesota Pediatric Surge Plan by contacting their HCC as delineated in their regional coordination plan. The pediatric trauma center will assume the role of the State Coordinating Pediatric Trauma Center (SCPC).  </w:t>
      </w:r>
    </w:p>
    <w:p w14:paraId="1E0F11DD"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Activation of the statewide Minnesota Pediatric Surge Plan is done as outlined in the Concept of Operations of that plan, again located on the MDH website at: </w:t>
      </w:r>
      <w:hyperlink r:id="rId15" w:history="1">
        <w:r w:rsidRPr="008B438E">
          <w:rPr>
            <w:rFonts w:ascii="Calibri" w:eastAsia="Times New Roman" w:hAnsi="Calibri" w:cs="Times New Roman"/>
            <w:color w:val="6B9F25"/>
            <w:kern w:val="0"/>
            <w:sz w:val="22"/>
            <w:u w:val="single"/>
            <w:lang w:eastAsia="en-US" w:bidi="en-US"/>
            <w14:ligatures w14:val="none"/>
          </w:rPr>
          <w:t>https://www.health.state.mn.us/communities/ep/surge/pediatric/pedsurgeplan.pdf</w:t>
        </w:r>
      </w:hyperlink>
    </w:p>
    <w:p w14:paraId="432D18D6" w14:textId="77777777" w:rsidR="008B438E" w:rsidRPr="008B438E" w:rsidRDefault="008B438E" w:rsidP="00824A48">
      <w:pPr>
        <w:keepNext/>
        <w:keepLines/>
        <w:spacing w:before="240" w:line="276" w:lineRule="auto"/>
        <w:ind w:left="0" w:right="0"/>
        <w:outlineLvl w:val="1"/>
        <w:rPr>
          <w:rFonts w:ascii="Calibri" w:eastAsia="Calibri" w:hAnsi="Calibri" w:cs="Times New Roman"/>
          <w:b/>
          <w:kern w:val="0"/>
          <w:sz w:val="28"/>
          <w:szCs w:val="32"/>
          <w:lang w:eastAsia="en-US"/>
          <w14:ligatures w14:val="none"/>
        </w:rPr>
      </w:pPr>
      <w:bookmarkStart w:id="10" w:name="_Toc99650078"/>
      <w:bookmarkStart w:id="11" w:name="_Toc103710308"/>
      <w:r w:rsidRPr="008B438E">
        <w:rPr>
          <w:rFonts w:ascii="Calibri" w:eastAsia="Calibri" w:hAnsi="Calibri" w:cs="Times New Roman"/>
          <w:b/>
          <w:kern w:val="0"/>
          <w:sz w:val="28"/>
          <w:szCs w:val="32"/>
          <w:lang w:eastAsia="en-US"/>
          <w14:ligatures w14:val="none"/>
        </w:rPr>
        <w:t>Pediatric Plan - Roles and Responsibilities</w:t>
      </w:r>
      <w:bookmarkEnd w:id="10"/>
      <w:bookmarkEnd w:id="11"/>
    </w:p>
    <w:p w14:paraId="341EA382" w14:textId="77777777" w:rsidR="008B438E" w:rsidRPr="008B438E" w:rsidRDefault="008B438E" w:rsidP="00824A48">
      <w:pPr>
        <w:keepNext/>
        <w:spacing w:before="120" w:line="276" w:lineRule="auto"/>
        <w:ind w:left="0" w:right="0"/>
        <w:outlineLvl w:val="2"/>
        <w:rPr>
          <w:rFonts w:ascii="Calibri" w:eastAsia="Times New Roman" w:hAnsi="Calibri" w:cs="Calibri"/>
          <w:b/>
          <w:kern w:val="0"/>
          <w:szCs w:val="24"/>
          <w:lang w:eastAsia="en-US" w:bidi="en-US"/>
          <w14:ligatures w14:val="none"/>
        </w:rPr>
      </w:pPr>
      <w:bookmarkStart w:id="12" w:name="_Toc23335629"/>
      <w:bookmarkStart w:id="13" w:name="_Toc18081697"/>
      <w:bookmarkStart w:id="14" w:name="_Toc99650079"/>
      <w:bookmarkStart w:id="15" w:name="_Toc103710309"/>
      <w:r w:rsidRPr="008B438E">
        <w:rPr>
          <w:rFonts w:ascii="Calibri" w:eastAsia="Times New Roman" w:hAnsi="Calibri" w:cs="Calibri"/>
          <w:b/>
          <w:kern w:val="0"/>
          <w:szCs w:val="24"/>
          <w:lang w:eastAsia="en-US" w:bidi="en-US"/>
          <w14:ligatures w14:val="none"/>
        </w:rPr>
        <w:t>Initial Receiving Hospital/Health Care Facility</w:t>
      </w:r>
      <w:bookmarkEnd w:id="12"/>
      <w:bookmarkEnd w:id="13"/>
      <w:bookmarkEnd w:id="14"/>
      <w:bookmarkEnd w:id="15"/>
    </w:p>
    <w:p w14:paraId="16737CEF" w14:textId="77777777" w:rsidR="008B438E" w:rsidRPr="008B438E" w:rsidRDefault="008B438E" w:rsidP="00824A48">
      <w:pPr>
        <w:spacing w:before="120" w:line="276" w:lineRule="auto"/>
        <w:ind w:left="0" w:right="0"/>
        <w:rPr>
          <w:rFonts w:ascii="Calibri" w:eastAsia="Calibri"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It is expected that all hospitals providing emergency care maintain a standardized basic level of preparedness and ability to deal with traumatic injury. Per the Minnesota Pediatric Surge Plan, the State Coordinating Pediatric Trauma Center may provide telephone/telemedicine expertise to assist stabilizing hospitals caring for victims. Additionally, St. Cloud Hospital does have pediatric specialties on staff to access along with pediatric behavioral health capabilities. Facilities could also consider accessing city and county Human Service departments, local schools and non-profits located in their communities for additional assistance outside of medical care of needed.  Central regional healthcare staff can also be tasked with looking for services as well. </w:t>
      </w:r>
    </w:p>
    <w:p w14:paraId="678C93F8"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The initial receiving facility determine the need to:</w:t>
      </w:r>
    </w:p>
    <w:p w14:paraId="1715854F" w14:textId="77777777" w:rsidR="008B438E" w:rsidRPr="00DE44AF" w:rsidRDefault="008B438E" w:rsidP="00DE44AF">
      <w:pPr>
        <w:pStyle w:val="ListParagraph"/>
        <w:numPr>
          <w:ilvl w:val="0"/>
          <w:numId w:val="44"/>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Activate their organizations emergency operations plan</w:t>
      </w:r>
    </w:p>
    <w:p w14:paraId="2FA7F6FA" w14:textId="77777777" w:rsidR="008B438E" w:rsidRPr="00DE44AF" w:rsidRDefault="008B438E" w:rsidP="00DE44AF">
      <w:pPr>
        <w:pStyle w:val="ListParagraph"/>
        <w:numPr>
          <w:ilvl w:val="0"/>
          <w:numId w:val="44"/>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Attempt to obtain resources through its normal and contingency methods (such as special agreements with other facilities within its parent organizations)</w:t>
      </w:r>
    </w:p>
    <w:p w14:paraId="59BA8F0A" w14:textId="77777777" w:rsidR="008B438E" w:rsidRPr="00DE44AF" w:rsidRDefault="008B438E" w:rsidP="00DE44AF">
      <w:pPr>
        <w:pStyle w:val="ListParagraph"/>
        <w:numPr>
          <w:ilvl w:val="0"/>
          <w:numId w:val="44"/>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Assess the response needs and communicate with the pediatric trauma center for guidance</w:t>
      </w:r>
    </w:p>
    <w:p w14:paraId="650E51A4" w14:textId="77777777" w:rsidR="008B438E" w:rsidRPr="00DE44AF" w:rsidRDefault="008B438E" w:rsidP="00DE44AF">
      <w:pPr>
        <w:pStyle w:val="ListParagraph"/>
        <w:numPr>
          <w:ilvl w:val="0"/>
          <w:numId w:val="44"/>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Notify the health care coalition of the situation and identify any specific needs from the coalition</w:t>
      </w:r>
    </w:p>
    <w:p w14:paraId="715EE6B4" w14:textId="77777777" w:rsidR="008B438E" w:rsidRPr="008B438E" w:rsidRDefault="008B438E" w:rsidP="00824A48">
      <w:pPr>
        <w:keepNext/>
        <w:spacing w:before="120" w:line="276" w:lineRule="auto"/>
        <w:ind w:left="0" w:right="0"/>
        <w:outlineLvl w:val="2"/>
        <w:rPr>
          <w:rFonts w:ascii="Calibri" w:eastAsia="Times New Roman" w:hAnsi="Calibri" w:cs="Calibri"/>
          <w:b/>
          <w:kern w:val="0"/>
          <w:szCs w:val="24"/>
          <w:lang w:eastAsia="en-US"/>
          <w14:ligatures w14:val="none"/>
        </w:rPr>
      </w:pPr>
      <w:bookmarkStart w:id="16" w:name="_Toc99650080"/>
      <w:bookmarkStart w:id="17" w:name="_Toc103710310"/>
      <w:r w:rsidRPr="008B438E">
        <w:rPr>
          <w:rFonts w:ascii="Calibri" w:eastAsia="Times New Roman" w:hAnsi="Calibri" w:cs="Calibri"/>
          <w:b/>
          <w:kern w:val="0"/>
          <w:szCs w:val="24"/>
          <w:lang w:eastAsia="en-US"/>
          <w14:ligatures w14:val="none"/>
        </w:rPr>
        <w:t>Designated Pediatric Trauma Center</w:t>
      </w:r>
      <w:bookmarkEnd w:id="16"/>
      <w:bookmarkEnd w:id="17"/>
    </w:p>
    <w:p w14:paraId="60C57755"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14:ligatures w14:val="none"/>
        </w:rPr>
      </w:pPr>
      <w:r w:rsidRPr="008B438E">
        <w:rPr>
          <w:rFonts w:ascii="Calibri" w:eastAsia="Times New Roman" w:hAnsi="Calibri" w:cs="Times New Roman"/>
          <w:kern w:val="0"/>
          <w:sz w:val="22"/>
          <w:lang w:eastAsia="en-US"/>
          <w14:ligatures w14:val="none"/>
        </w:rPr>
        <w:t>The designated pediatric trauma center will determine the need to:</w:t>
      </w:r>
    </w:p>
    <w:p w14:paraId="127FE01B" w14:textId="77777777" w:rsidR="008B438E" w:rsidRPr="00DE44AF" w:rsidRDefault="008B438E" w:rsidP="00DE44AF">
      <w:pPr>
        <w:pStyle w:val="ListParagraph"/>
        <w:numPr>
          <w:ilvl w:val="0"/>
          <w:numId w:val="45"/>
        </w:numPr>
        <w:spacing w:before="60" w:after="60" w:line="276" w:lineRule="auto"/>
        <w:contextualSpacing/>
        <w:rPr>
          <w:rFonts w:ascii="Calibri" w:eastAsia="Times New Roman" w:hAnsi="Calibri" w:cs="Calibri"/>
          <w:lang w:bidi="en-US"/>
        </w:rPr>
      </w:pPr>
      <w:r w:rsidRPr="00DE44AF">
        <w:rPr>
          <w:rFonts w:ascii="Calibri" w:eastAsia="Times New Roman" w:hAnsi="Calibri" w:cs="Calibri"/>
          <w:lang w:bidi="en-US"/>
        </w:rPr>
        <w:t>Assess the situation and if deemed necessary activate their facilities surge plan</w:t>
      </w:r>
    </w:p>
    <w:p w14:paraId="4EC538AF" w14:textId="77777777" w:rsidR="008B438E" w:rsidRPr="00DE44AF" w:rsidRDefault="008B438E" w:rsidP="00DE44AF">
      <w:pPr>
        <w:pStyle w:val="ListParagraph"/>
        <w:numPr>
          <w:ilvl w:val="0"/>
          <w:numId w:val="45"/>
        </w:numPr>
        <w:spacing w:before="60" w:after="60" w:line="276" w:lineRule="auto"/>
        <w:contextualSpacing/>
        <w:rPr>
          <w:rFonts w:ascii="Calibri" w:eastAsia="Times New Roman" w:hAnsi="Calibri" w:cs="Calibri"/>
          <w:lang w:bidi="en-US"/>
        </w:rPr>
      </w:pPr>
      <w:r w:rsidRPr="00DE44AF">
        <w:rPr>
          <w:rFonts w:ascii="Calibri" w:eastAsia="Times New Roman" w:hAnsi="Calibri" w:cs="Calibri"/>
          <w:lang w:bidi="en-US"/>
        </w:rPr>
        <w:lastRenderedPageBreak/>
        <w:t>Provide guidance to the initial facility regarding stabilization of patients</w:t>
      </w:r>
    </w:p>
    <w:p w14:paraId="7F1C7959" w14:textId="77777777" w:rsidR="008B438E" w:rsidRPr="00DE44AF" w:rsidRDefault="008B438E" w:rsidP="00DE44AF">
      <w:pPr>
        <w:pStyle w:val="ListParagraph"/>
        <w:numPr>
          <w:ilvl w:val="0"/>
          <w:numId w:val="45"/>
        </w:numPr>
        <w:spacing w:before="60" w:after="60" w:line="276" w:lineRule="auto"/>
        <w:contextualSpacing/>
        <w:rPr>
          <w:rFonts w:ascii="Calibri" w:eastAsia="Times New Roman" w:hAnsi="Calibri" w:cs="Calibri"/>
          <w:lang w:bidi="en-US"/>
        </w:rPr>
      </w:pPr>
      <w:r w:rsidRPr="00DE44AF">
        <w:rPr>
          <w:rFonts w:ascii="Calibri" w:eastAsia="Times New Roman" w:hAnsi="Calibri" w:cs="Calibri"/>
          <w:lang w:bidi="en-US"/>
        </w:rPr>
        <w:t>Notify the HCC of the need to activate the states Pediatric Surge plan</w:t>
      </w:r>
    </w:p>
    <w:p w14:paraId="02683B21" w14:textId="77777777" w:rsidR="008B438E" w:rsidRPr="008B438E" w:rsidRDefault="008B438E" w:rsidP="00824A48">
      <w:pPr>
        <w:keepNext/>
        <w:spacing w:before="120" w:line="276" w:lineRule="auto"/>
        <w:ind w:left="0" w:right="0"/>
        <w:outlineLvl w:val="2"/>
        <w:rPr>
          <w:rFonts w:ascii="Calibri" w:eastAsia="Times New Roman" w:hAnsi="Calibri" w:cs="Calibri"/>
          <w:b/>
          <w:kern w:val="0"/>
          <w:szCs w:val="24"/>
          <w:lang w:eastAsia="en-US" w:bidi="en-US"/>
          <w14:ligatures w14:val="none"/>
        </w:rPr>
      </w:pPr>
      <w:bookmarkStart w:id="18" w:name="_Toc99650081"/>
      <w:bookmarkStart w:id="19" w:name="_Toc103710311"/>
      <w:r w:rsidRPr="008B438E">
        <w:rPr>
          <w:rFonts w:ascii="Calibri" w:eastAsia="Times New Roman" w:hAnsi="Calibri" w:cs="Calibri"/>
          <w:b/>
          <w:kern w:val="0"/>
          <w:szCs w:val="24"/>
          <w:lang w:eastAsia="en-US" w:bidi="en-US"/>
          <w14:ligatures w14:val="none"/>
        </w:rPr>
        <w:t>Health Care Coalition</w:t>
      </w:r>
      <w:bookmarkEnd w:id="18"/>
      <w:bookmarkEnd w:id="19"/>
    </w:p>
    <w:p w14:paraId="73B114C3" w14:textId="77777777"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The health care coalitions will determine the need to:</w:t>
      </w:r>
    </w:p>
    <w:p w14:paraId="6B766A63"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Activate the Coalition Health Multi-Agency Coordination Center (HMAC)</w:t>
      </w:r>
    </w:p>
    <w:p w14:paraId="38DC37F3"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Issue a MNTRAC Alert and/or set up a regional conference call or coordination room</w:t>
      </w:r>
    </w:p>
    <w:p w14:paraId="735B32FA"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Create a Patient tracking room within MNTrac</w:t>
      </w:r>
    </w:p>
    <w:p w14:paraId="0CBF8886"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Initiate a bed availability request statewide</w:t>
      </w:r>
    </w:p>
    <w:p w14:paraId="2AE53F25"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Monitor MNTRAC periodically</w:t>
      </w:r>
    </w:p>
    <w:p w14:paraId="37B42657"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Identify needs, and coordinate movement of available healthcare resources</w:t>
      </w:r>
    </w:p>
    <w:p w14:paraId="152F9E6A"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Connect with MDH DOC or CEPR 24/7</w:t>
      </w:r>
    </w:p>
    <w:p w14:paraId="5EDD14EF"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Maintain situational awareness of healthcare status.</w:t>
      </w:r>
    </w:p>
    <w:p w14:paraId="6278F927" w14:textId="77777777" w:rsidR="008B438E" w:rsidRPr="00DE44AF" w:rsidRDefault="008B438E" w:rsidP="00DE44AF">
      <w:pPr>
        <w:pStyle w:val="ListParagraph"/>
        <w:numPr>
          <w:ilvl w:val="0"/>
          <w:numId w:val="46"/>
        </w:numPr>
        <w:spacing w:before="60" w:after="60" w:line="276" w:lineRule="auto"/>
        <w:contextualSpacing/>
        <w:rPr>
          <w:rFonts w:ascii="Calibri" w:eastAsia="Times New Roman" w:hAnsi="Calibri" w:cs="Times New Roman"/>
          <w:lang w:bidi="en-US"/>
        </w:rPr>
      </w:pPr>
      <w:r w:rsidRPr="00DE44AF">
        <w:rPr>
          <w:rFonts w:ascii="Calibri" w:eastAsia="Times New Roman" w:hAnsi="Calibri" w:cs="Times New Roman"/>
          <w:lang w:bidi="en-US"/>
        </w:rPr>
        <w:t>Facilitate deployment of disaster stockpiles.</w:t>
      </w:r>
    </w:p>
    <w:p w14:paraId="55FB2F53" w14:textId="2D4F8A3B" w:rsidR="008B438E" w:rsidRPr="008B438E" w:rsidRDefault="008B438E" w:rsidP="00824A48">
      <w:pPr>
        <w:spacing w:before="120" w:line="276" w:lineRule="auto"/>
        <w:ind w:left="0" w:right="0"/>
        <w:rPr>
          <w:rFonts w:ascii="Calibri" w:eastAsia="Times New Roman" w:hAnsi="Calibri" w:cs="Times New Roman"/>
          <w:kern w:val="0"/>
          <w:sz w:val="22"/>
          <w:lang w:eastAsia="en-US" w:bidi="en-US"/>
          <w14:ligatures w14:val="none"/>
        </w:rPr>
      </w:pPr>
      <w:r w:rsidRPr="008B438E">
        <w:rPr>
          <w:rFonts w:ascii="Calibri" w:eastAsia="Times New Roman" w:hAnsi="Calibri" w:cs="Times New Roman"/>
          <w:kern w:val="0"/>
          <w:sz w:val="22"/>
          <w:lang w:eastAsia="en-US" w:bidi="en-US"/>
          <w14:ligatures w14:val="none"/>
        </w:rPr>
        <w:t xml:space="preserve">The coalition does not maintain a specific cache of pediatric </w:t>
      </w:r>
      <w:r w:rsidR="00DE44AF" w:rsidRPr="008B438E">
        <w:rPr>
          <w:rFonts w:ascii="Calibri" w:eastAsia="Times New Roman" w:hAnsi="Calibri" w:cs="Times New Roman"/>
          <w:kern w:val="0"/>
          <w:sz w:val="22"/>
          <w:lang w:eastAsia="en-US" w:bidi="en-US"/>
          <w14:ligatures w14:val="none"/>
        </w:rPr>
        <w:t>supplies but</w:t>
      </w:r>
      <w:r w:rsidRPr="008B438E">
        <w:rPr>
          <w:rFonts w:ascii="Calibri" w:eastAsia="Times New Roman" w:hAnsi="Calibri" w:cs="Times New Roman"/>
          <w:kern w:val="0"/>
          <w:sz w:val="22"/>
          <w:lang w:eastAsia="en-US" w:bidi="en-US"/>
          <w14:ligatures w14:val="none"/>
        </w:rPr>
        <w:t xml:space="preserve"> will coordinate with MDH and other regions for additional resource needs as able.  </w:t>
      </w:r>
    </w:p>
    <w:p w14:paraId="20535B0C" w14:textId="77777777" w:rsidR="008B438E" w:rsidRPr="008B438E" w:rsidRDefault="008B438E" w:rsidP="00824A48">
      <w:pPr>
        <w:keepNext/>
        <w:spacing w:before="120" w:line="276" w:lineRule="auto"/>
        <w:ind w:left="0" w:right="0"/>
        <w:outlineLvl w:val="2"/>
        <w:rPr>
          <w:rFonts w:ascii="Calibri" w:eastAsia="Times New Roman" w:hAnsi="Calibri" w:cs="Calibri"/>
          <w:b/>
          <w:kern w:val="0"/>
          <w:szCs w:val="24"/>
          <w:lang w:eastAsia="en-US" w:bidi="en-US"/>
          <w14:ligatures w14:val="none"/>
        </w:rPr>
      </w:pPr>
      <w:bookmarkStart w:id="20" w:name="_Toc99650082"/>
      <w:bookmarkStart w:id="21" w:name="_Toc103710312"/>
      <w:r w:rsidRPr="008B438E">
        <w:rPr>
          <w:rFonts w:ascii="Calibri" w:eastAsia="Times New Roman" w:hAnsi="Calibri" w:cs="Calibri"/>
          <w:b/>
          <w:kern w:val="0"/>
          <w:szCs w:val="24"/>
          <w:lang w:eastAsia="en-US" w:bidi="en-US"/>
          <w14:ligatures w14:val="none"/>
        </w:rPr>
        <w:t>Additional Resources for Pediatric Surge Planning</w:t>
      </w:r>
      <w:bookmarkEnd w:id="20"/>
      <w:bookmarkEnd w:id="21"/>
    </w:p>
    <w:p w14:paraId="726A748B" w14:textId="38D8914F" w:rsidR="00CB6975" w:rsidRPr="008E02A6" w:rsidRDefault="008B438E" w:rsidP="00824A48">
      <w:pPr>
        <w:spacing w:before="120" w:line="276" w:lineRule="auto"/>
        <w:ind w:left="0" w:right="0"/>
        <w:rPr>
          <w:rFonts w:cstheme="minorHAnsi"/>
          <w:sz w:val="22"/>
        </w:rPr>
      </w:pPr>
      <w:r w:rsidRPr="008B438E">
        <w:rPr>
          <w:rFonts w:ascii="Calibri" w:eastAsia="Times New Roman" w:hAnsi="Calibri" w:cs="Times New Roman"/>
          <w:kern w:val="0"/>
          <w:sz w:val="22"/>
          <w:lang w:eastAsia="en-US" w:bidi="en-US"/>
          <w14:ligatures w14:val="none"/>
        </w:rPr>
        <w:t xml:space="preserve">For additional pediatric planning resources, see the MDH Pediatric Surge Plan and Toolkit at: </w:t>
      </w:r>
      <w:hyperlink r:id="rId16" w:history="1">
        <w:r w:rsidRPr="008B438E">
          <w:rPr>
            <w:rFonts w:ascii="Calibri" w:eastAsia="Times New Roman" w:hAnsi="Calibri" w:cs="Times New Roman"/>
            <w:color w:val="0000FF"/>
            <w:kern w:val="0"/>
            <w:sz w:val="22"/>
            <w:u w:val="single"/>
            <w:lang w:eastAsia="en-US" w:bidi="en-US"/>
            <w14:ligatures w14:val="none"/>
          </w:rPr>
          <w:t>https://www.health.state.mn.us/communities/ep/surge/pediatric/index.html</w:t>
        </w:r>
      </w:hyperlink>
    </w:p>
    <w:sectPr w:rsidR="00CB6975" w:rsidRPr="008E02A6" w:rsidSect="00CB6975">
      <w:headerReference w:type="default" r:id="rId17"/>
      <w:footerReference w:type="default" r:id="rId18"/>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0FFC" w14:textId="77777777" w:rsidR="003E5E97" w:rsidRDefault="003E5E97">
      <w:r>
        <w:separator/>
      </w:r>
    </w:p>
    <w:p w14:paraId="25E1206C" w14:textId="77777777" w:rsidR="003E5E97" w:rsidRDefault="003E5E97"/>
  </w:endnote>
  <w:endnote w:type="continuationSeparator" w:id="0">
    <w:p w14:paraId="145D0636" w14:textId="77777777" w:rsidR="003E5E97" w:rsidRDefault="003E5E97">
      <w:r>
        <w:continuationSeparator/>
      </w:r>
    </w:p>
    <w:p w14:paraId="4FC3F0ED" w14:textId="77777777" w:rsidR="003E5E97" w:rsidRDefault="003E5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83D4" w14:textId="77777777" w:rsidR="003E5E97" w:rsidRDefault="003E5E97">
      <w:r>
        <w:separator/>
      </w:r>
    </w:p>
    <w:p w14:paraId="79841DCD" w14:textId="77777777" w:rsidR="003E5E97" w:rsidRDefault="003E5E97"/>
  </w:footnote>
  <w:footnote w:type="continuationSeparator" w:id="0">
    <w:p w14:paraId="097FBE00" w14:textId="77777777" w:rsidR="003E5E97" w:rsidRDefault="003E5E97">
      <w:r>
        <w:continuationSeparator/>
      </w:r>
    </w:p>
    <w:p w14:paraId="04A8AFAA" w14:textId="77777777" w:rsidR="003E5E97" w:rsidRDefault="003E5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F1"/>
    <w:multiLevelType w:val="hybridMultilevel"/>
    <w:tmpl w:val="A37C7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507E05"/>
    <w:multiLevelType w:val="hybridMultilevel"/>
    <w:tmpl w:val="28CA26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30FA4"/>
    <w:multiLevelType w:val="hybridMultilevel"/>
    <w:tmpl w:val="8B70AADA"/>
    <w:lvl w:ilvl="0" w:tplc="8D06CB8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810006D"/>
    <w:multiLevelType w:val="hybridMultilevel"/>
    <w:tmpl w:val="217605B2"/>
    <w:lvl w:ilvl="0" w:tplc="04090015">
      <w:start w:val="1"/>
      <w:numFmt w:val="upp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15:restartNumberingAfterBreak="0">
    <w:nsid w:val="08A01A80"/>
    <w:multiLevelType w:val="hybridMultilevel"/>
    <w:tmpl w:val="9DC2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6B0D8C"/>
    <w:multiLevelType w:val="hybridMultilevel"/>
    <w:tmpl w:val="CCA6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DC7D57"/>
    <w:multiLevelType w:val="hybridMultilevel"/>
    <w:tmpl w:val="7CE4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17AC"/>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3097F7D"/>
    <w:multiLevelType w:val="hybridMultilevel"/>
    <w:tmpl w:val="4AD08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738F5"/>
    <w:multiLevelType w:val="hybridMultilevel"/>
    <w:tmpl w:val="0B8A22C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587C6F"/>
    <w:multiLevelType w:val="hybridMultilevel"/>
    <w:tmpl w:val="E11A2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C31C21"/>
    <w:multiLevelType w:val="hybridMultilevel"/>
    <w:tmpl w:val="C3760D50"/>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95211"/>
    <w:multiLevelType w:val="hybridMultilevel"/>
    <w:tmpl w:val="2C1ED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35841"/>
    <w:multiLevelType w:val="hybridMultilevel"/>
    <w:tmpl w:val="125CCAF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2B017B72"/>
    <w:multiLevelType w:val="hybridMultilevel"/>
    <w:tmpl w:val="64160548"/>
    <w:lvl w:ilvl="0" w:tplc="ACF84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F15DC"/>
    <w:multiLevelType w:val="hybridMultilevel"/>
    <w:tmpl w:val="8BF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A0432E"/>
    <w:multiLevelType w:val="hybridMultilevel"/>
    <w:tmpl w:val="EC2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546C4"/>
    <w:multiLevelType w:val="hybridMultilevel"/>
    <w:tmpl w:val="4A7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6A3A5E"/>
    <w:multiLevelType w:val="hybridMultilevel"/>
    <w:tmpl w:val="6270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FC0B75"/>
    <w:multiLevelType w:val="hybridMultilevel"/>
    <w:tmpl w:val="A7363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62D8C"/>
    <w:multiLevelType w:val="hybridMultilevel"/>
    <w:tmpl w:val="2180813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40EA2021"/>
    <w:multiLevelType w:val="hybridMultilevel"/>
    <w:tmpl w:val="B9185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8A3298"/>
    <w:multiLevelType w:val="hybridMultilevel"/>
    <w:tmpl w:val="708C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7A2719"/>
    <w:multiLevelType w:val="hybridMultilevel"/>
    <w:tmpl w:val="D0C80DD6"/>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6" w15:restartNumberingAfterBreak="0">
    <w:nsid w:val="4DBE2A4B"/>
    <w:multiLevelType w:val="hybridMultilevel"/>
    <w:tmpl w:val="73CA93E2"/>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27" w15:restartNumberingAfterBreak="0">
    <w:nsid w:val="51B00D82"/>
    <w:multiLevelType w:val="hybridMultilevel"/>
    <w:tmpl w:val="C404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257BEF"/>
    <w:multiLevelType w:val="hybridMultilevel"/>
    <w:tmpl w:val="D8FE34A4"/>
    <w:lvl w:ilvl="0" w:tplc="8D06CB82">
      <w:start w:val="1"/>
      <w:numFmt w:val="upperLetter"/>
      <w:lvlText w:val="%1."/>
      <w:lvlJc w:val="left"/>
      <w:pPr>
        <w:tabs>
          <w:tab w:val="num" w:pos="1530"/>
        </w:tabs>
        <w:ind w:left="1530" w:hanging="360"/>
      </w:pPr>
      <w:rPr>
        <w:rFonts w:hint="default"/>
        <w:b w:val="0"/>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9" w15:restartNumberingAfterBreak="0">
    <w:nsid w:val="548D61AD"/>
    <w:multiLevelType w:val="hybridMultilevel"/>
    <w:tmpl w:val="F0D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6B1A3A"/>
    <w:multiLevelType w:val="hybridMultilevel"/>
    <w:tmpl w:val="B93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264E4"/>
    <w:multiLevelType w:val="hybridMultilevel"/>
    <w:tmpl w:val="9178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55A47"/>
    <w:multiLevelType w:val="hybridMultilevel"/>
    <w:tmpl w:val="314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CC7889"/>
    <w:multiLevelType w:val="hybridMultilevel"/>
    <w:tmpl w:val="BFCC813E"/>
    <w:lvl w:ilvl="0" w:tplc="738EAF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633671"/>
    <w:multiLevelType w:val="hybridMultilevel"/>
    <w:tmpl w:val="86F6F962"/>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438C5"/>
    <w:multiLevelType w:val="hybridMultilevel"/>
    <w:tmpl w:val="5A00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AD3634"/>
    <w:multiLevelType w:val="hybridMultilevel"/>
    <w:tmpl w:val="40509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433F8C"/>
    <w:multiLevelType w:val="hybridMultilevel"/>
    <w:tmpl w:val="5474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6745B"/>
    <w:multiLevelType w:val="hybridMultilevel"/>
    <w:tmpl w:val="0FF6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7674B"/>
    <w:multiLevelType w:val="hybridMultilevel"/>
    <w:tmpl w:val="087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B31711"/>
    <w:multiLevelType w:val="hybridMultilevel"/>
    <w:tmpl w:val="3AE84CBE"/>
    <w:lvl w:ilvl="0" w:tplc="8D06CB82">
      <w:start w:val="1"/>
      <w:numFmt w:val="upperLetter"/>
      <w:lvlText w:val="%1."/>
      <w:lvlJc w:val="left"/>
      <w:pPr>
        <w:ind w:left="1188" w:hanging="360"/>
      </w:pPr>
      <w:rPr>
        <w:b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1" w15:restartNumberingAfterBreak="0">
    <w:nsid w:val="7544755B"/>
    <w:multiLevelType w:val="hybridMultilevel"/>
    <w:tmpl w:val="D39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14EFF"/>
    <w:multiLevelType w:val="hybridMultilevel"/>
    <w:tmpl w:val="9DA66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C3898"/>
    <w:multiLevelType w:val="hybridMultilevel"/>
    <w:tmpl w:val="CA7A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713D3"/>
    <w:multiLevelType w:val="hybridMultilevel"/>
    <w:tmpl w:val="1E74B120"/>
    <w:lvl w:ilvl="0" w:tplc="8D06CB82">
      <w:start w:val="1"/>
      <w:numFmt w:val="upperLetter"/>
      <w:lvlText w:val="%1."/>
      <w:lvlJc w:val="left"/>
      <w:pPr>
        <w:tabs>
          <w:tab w:val="num" w:pos="1188"/>
        </w:tabs>
        <w:ind w:left="1188"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67F9D"/>
    <w:multiLevelType w:val="hybridMultilevel"/>
    <w:tmpl w:val="FB7EC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426493">
    <w:abstractNumId w:val="12"/>
  </w:num>
  <w:num w:numId="2" w16cid:durableId="991174568">
    <w:abstractNumId w:val="25"/>
  </w:num>
  <w:num w:numId="3" w16cid:durableId="260918932">
    <w:abstractNumId w:val="26"/>
  </w:num>
  <w:num w:numId="4" w16cid:durableId="901795649">
    <w:abstractNumId w:val="44"/>
  </w:num>
  <w:num w:numId="5" w16cid:durableId="1668678892">
    <w:abstractNumId w:val="2"/>
  </w:num>
  <w:num w:numId="6" w16cid:durableId="180553446">
    <w:abstractNumId w:val="7"/>
  </w:num>
  <w:num w:numId="7" w16cid:durableId="1634827576">
    <w:abstractNumId w:val="11"/>
  </w:num>
  <w:num w:numId="8" w16cid:durableId="908534241">
    <w:abstractNumId w:val="28"/>
  </w:num>
  <w:num w:numId="9" w16cid:durableId="1698121962">
    <w:abstractNumId w:val="20"/>
  </w:num>
  <w:num w:numId="10" w16cid:durableId="800536908">
    <w:abstractNumId w:val="38"/>
  </w:num>
  <w:num w:numId="11" w16cid:durableId="905726556">
    <w:abstractNumId w:val="4"/>
  </w:num>
  <w:num w:numId="12" w16cid:durableId="1589190450">
    <w:abstractNumId w:val="33"/>
  </w:num>
  <w:num w:numId="13" w16cid:durableId="870723786">
    <w:abstractNumId w:val="5"/>
  </w:num>
  <w:num w:numId="14" w16cid:durableId="1183085581">
    <w:abstractNumId w:val="35"/>
  </w:num>
  <w:num w:numId="15" w16cid:durableId="1682970754">
    <w:abstractNumId w:val="39"/>
  </w:num>
  <w:num w:numId="16" w16cid:durableId="1459294364">
    <w:abstractNumId w:val="18"/>
  </w:num>
  <w:num w:numId="17" w16cid:durableId="318308466">
    <w:abstractNumId w:val="23"/>
  </w:num>
  <w:num w:numId="18" w16cid:durableId="1387875159">
    <w:abstractNumId w:val="9"/>
  </w:num>
  <w:num w:numId="19" w16cid:durableId="1942570247">
    <w:abstractNumId w:val="29"/>
  </w:num>
  <w:num w:numId="20" w16cid:durableId="674724229">
    <w:abstractNumId w:val="27"/>
  </w:num>
  <w:num w:numId="21" w16cid:durableId="1106998576">
    <w:abstractNumId w:val="16"/>
  </w:num>
  <w:num w:numId="22" w16cid:durableId="1975526206">
    <w:abstractNumId w:val="32"/>
  </w:num>
  <w:num w:numId="23" w16cid:durableId="1036396239">
    <w:abstractNumId w:val="10"/>
  </w:num>
  <w:num w:numId="24" w16cid:durableId="1114593883">
    <w:abstractNumId w:val="17"/>
  </w:num>
  <w:num w:numId="25" w16cid:durableId="691152414">
    <w:abstractNumId w:val="22"/>
  </w:num>
  <w:num w:numId="26" w16cid:durableId="507983319">
    <w:abstractNumId w:val="31"/>
  </w:num>
  <w:num w:numId="27" w16cid:durableId="99958292">
    <w:abstractNumId w:val="6"/>
  </w:num>
  <w:num w:numId="28" w16cid:durableId="1172069323">
    <w:abstractNumId w:val="43"/>
  </w:num>
  <w:num w:numId="29" w16cid:durableId="1972319284">
    <w:abstractNumId w:val="37"/>
  </w:num>
  <w:num w:numId="30" w16cid:durableId="1782843190">
    <w:abstractNumId w:val="0"/>
  </w:num>
  <w:num w:numId="31" w16cid:durableId="928120925">
    <w:abstractNumId w:val="14"/>
  </w:num>
  <w:num w:numId="32" w16cid:durableId="2070760517">
    <w:abstractNumId w:val="21"/>
  </w:num>
  <w:num w:numId="33" w16cid:durableId="1793480165">
    <w:abstractNumId w:val="40"/>
  </w:num>
  <w:num w:numId="34" w16cid:durableId="1308172514">
    <w:abstractNumId w:val="34"/>
  </w:num>
  <w:num w:numId="35" w16cid:durableId="1101024354">
    <w:abstractNumId w:val="24"/>
  </w:num>
  <w:num w:numId="36" w16cid:durableId="1676886044">
    <w:abstractNumId w:val="19"/>
  </w:num>
  <w:num w:numId="37" w16cid:durableId="2030792704">
    <w:abstractNumId w:val="1"/>
  </w:num>
  <w:num w:numId="38" w16cid:durableId="688719007">
    <w:abstractNumId w:val="3"/>
  </w:num>
  <w:num w:numId="39" w16cid:durableId="608779527">
    <w:abstractNumId w:val="15"/>
  </w:num>
  <w:num w:numId="40" w16cid:durableId="1831866250">
    <w:abstractNumId w:val="30"/>
  </w:num>
  <w:num w:numId="41" w16cid:durableId="389109012">
    <w:abstractNumId w:val="41"/>
  </w:num>
  <w:num w:numId="42" w16cid:durableId="487405010">
    <w:abstractNumId w:val="42"/>
  </w:num>
  <w:num w:numId="43" w16cid:durableId="652413344">
    <w:abstractNumId w:val="45"/>
  </w:num>
  <w:num w:numId="44" w16cid:durableId="470025016">
    <w:abstractNumId w:val="13"/>
  </w:num>
  <w:num w:numId="45" w16cid:durableId="518785346">
    <w:abstractNumId w:val="36"/>
  </w:num>
  <w:num w:numId="46" w16cid:durableId="19072614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A2AD6"/>
    <w:rsid w:val="000A3177"/>
    <w:rsid w:val="000A7002"/>
    <w:rsid w:val="000B42FC"/>
    <w:rsid w:val="000C505F"/>
    <w:rsid w:val="000E46C0"/>
    <w:rsid w:val="00103D8A"/>
    <w:rsid w:val="00115477"/>
    <w:rsid w:val="00116A1A"/>
    <w:rsid w:val="00120478"/>
    <w:rsid w:val="00123004"/>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E6E28"/>
    <w:rsid w:val="002F73E7"/>
    <w:rsid w:val="0031792E"/>
    <w:rsid w:val="00342094"/>
    <w:rsid w:val="003A09FC"/>
    <w:rsid w:val="003B2CC9"/>
    <w:rsid w:val="003E5E97"/>
    <w:rsid w:val="004037BD"/>
    <w:rsid w:val="004055D3"/>
    <w:rsid w:val="004132C0"/>
    <w:rsid w:val="004465CF"/>
    <w:rsid w:val="004548F7"/>
    <w:rsid w:val="00495986"/>
    <w:rsid w:val="004B2E9A"/>
    <w:rsid w:val="004D66A5"/>
    <w:rsid w:val="004D6E63"/>
    <w:rsid w:val="00515E5A"/>
    <w:rsid w:val="005209A5"/>
    <w:rsid w:val="00540A95"/>
    <w:rsid w:val="0054324F"/>
    <w:rsid w:val="00555ECE"/>
    <w:rsid w:val="00582C9A"/>
    <w:rsid w:val="00597DC7"/>
    <w:rsid w:val="005A17ED"/>
    <w:rsid w:val="005B0C5F"/>
    <w:rsid w:val="005B6041"/>
    <w:rsid w:val="005D3B38"/>
    <w:rsid w:val="006120F3"/>
    <w:rsid w:val="006502A8"/>
    <w:rsid w:val="00686A37"/>
    <w:rsid w:val="0069750E"/>
    <w:rsid w:val="006A05E1"/>
    <w:rsid w:val="006B23CD"/>
    <w:rsid w:val="006C544A"/>
    <w:rsid w:val="006D4EC7"/>
    <w:rsid w:val="006F36E2"/>
    <w:rsid w:val="007035F9"/>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6573"/>
    <w:rsid w:val="00D64886"/>
    <w:rsid w:val="00DB1258"/>
    <w:rsid w:val="00DE1287"/>
    <w:rsid w:val="00DE44AF"/>
    <w:rsid w:val="00DF738A"/>
    <w:rsid w:val="00E550A1"/>
    <w:rsid w:val="00E70A2E"/>
    <w:rsid w:val="00E8458C"/>
    <w:rsid w:val="00EE643A"/>
    <w:rsid w:val="00F115E5"/>
    <w:rsid w:val="00F145AD"/>
    <w:rsid w:val="00F248CA"/>
    <w:rsid w:val="00F7413D"/>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ps.mn.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ealth.state.mn.us/communities/ep/surge/pediatric/pedsurge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lth.state.mn.us/communities/ep/surge/pediatric/index.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state.mn.us/communities/ep/surge/pediatric/pedsurgepla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20.education.state.mn.us/MDEAnalytics/Data.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5714AD6A24276B9591BC19193A13E"/>
        <w:category>
          <w:name w:val="General"/>
          <w:gallery w:val="placeholder"/>
        </w:category>
        <w:types>
          <w:type w:val="bbPlcHdr"/>
        </w:types>
        <w:behaviors>
          <w:behavior w:val="content"/>
        </w:behaviors>
        <w:guid w:val="{EC5B66D9-10FB-4703-AD2F-28BE9B69621E}"/>
      </w:docPartPr>
      <w:docPartBody>
        <w:p w:rsidR="00000000" w:rsidRDefault="00301120" w:rsidP="00301120">
          <w:pPr>
            <w:pStyle w:val="D285714AD6A24276B9591BC19193A13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20"/>
    <w:rsid w:val="00301120"/>
    <w:rsid w:val="0086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120"/>
  </w:style>
  <w:style w:type="paragraph" w:customStyle="1" w:styleId="E99D45A1A8134E2F9386953DECF487D8">
    <w:name w:val="E99D45A1A8134E2F9386953DECF487D8"/>
    <w:rsid w:val="00301120"/>
  </w:style>
  <w:style w:type="paragraph" w:customStyle="1" w:styleId="D285714AD6A24276B9591BC19193A13E">
    <w:name w:val="D285714AD6A24276B9591BC19193A13E"/>
    <w:rsid w:val="00301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4.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5.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11</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3.5.1.2 cmhpc pediatric surge plan</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3.5.1.2 cmhpc pediatric surge plan</dc:title>
  <dc:creator>Stoen, Shawn</dc:creator>
  <cp:keywords/>
  <cp:lastModifiedBy>Stoen, Shawn</cp:lastModifiedBy>
  <cp:revision>3</cp:revision>
  <cp:lastPrinted>2018-05-18T20:58:00Z</cp:lastPrinted>
  <dcterms:created xsi:type="dcterms:W3CDTF">2022-05-18T01:01:00Z</dcterms:created>
  <dcterms:modified xsi:type="dcterms:W3CDTF">2022-05-18T01:11:00Z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