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242852" w:themeColor="text2"/>
          <w:sz w:val="32"/>
          <w:szCs w:val="32"/>
        </w:rPr>
      </w:sdtEndPr>
      <w:sdtContent>
        <w:p w14:paraId="2035B7BD" w14:textId="77777777" w:rsidR="0027159A" w:rsidRDefault="0027159A"/>
        <w:p w14:paraId="5C377B78" w14:textId="43CBB06D" w:rsidR="0027159A" w:rsidRDefault="008F52C1">
          <w:pPr>
            <w:rPr>
              <w:noProof/>
              <w:color w:val="242852" w:themeColor="text2"/>
              <w:sz w:val="32"/>
              <w:szCs w:val="32"/>
            </w:rPr>
          </w:pPr>
          <w:r>
            <w:rPr>
              <w:noProof/>
            </w:rPr>
            <mc:AlternateContent>
              <mc:Choice Requires="wpg">
                <w:drawing>
                  <wp:anchor distT="0" distB="0" distL="114300" distR="114300" simplePos="0" relativeHeight="251659264" behindDoc="0" locked="0" layoutInCell="1" allowOverlap="1" wp14:anchorId="3C74B3B0" wp14:editId="183FDEFE">
                    <wp:simplePos x="0" y="0"/>
                    <wp:positionH relativeFrom="page">
                      <wp:posOffset>400050</wp:posOffset>
                    </wp:positionH>
                    <wp:positionV relativeFrom="page">
                      <wp:posOffset>457200</wp:posOffset>
                    </wp:positionV>
                    <wp:extent cx="238125" cy="9144000"/>
                    <wp:effectExtent l="0" t="0" r="9525" b="19685"/>
                    <wp:wrapNone/>
                    <wp:docPr id="38" name="Group 38" title="Decorative sidebar"/>
                    <wp:cNvGraphicFramePr/>
                    <a:graphic xmlns:a="http://schemas.openxmlformats.org/drawingml/2006/main">
                      <a:graphicData uri="http://schemas.microsoft.com/office/word/2010/wordprocessingGroup">
                        <wpg:wgp>
                          <wpg:cNvGrpSpPr/>
                          <wpg:grpSpPr>
                            <a:xfrm>
                              <a:off x="0" y="0"/>
                              <a:ext cx="238125" cy="9144000"/>
                              <a:chOff x="-9525" y="0"/>
                              <a:chExt cx="238125"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9525" y="8915400"/>
                                <a:ext cx="228600" cy="2286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67348376" id="Group 38" o:spid="_x0000_s1026" alt="Title: Decorative sidebar" style="position:absolute;margin-left:31.5pt;margin-top:36pt;width:18.75pt;height:10in;z-index:251659264;mso-height-percent:909;mso-position-horizontal-relative:page;mso-position-vertical-relative:page;mso-height-percent:909" coordorigin="-95"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903 [3205]" stroked="f" strokeweight="1pt"/>
                    <v:rect id="Rectangle 40" o:spid="_x0000_s1028" style="position:absolute;left:-95;top:89154;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" fillcolor="#060 [3206]" strokecolor="#003200 [1606]" strokeweight="1pt">
                      <v:path arrowok="t"/>
                      <o:lock v:ext="edit" aspectratio="t"/>
                    </v:rect>
                    <w10:wrap anchorx="page" anchory="page"/>
                  </v:group>
                </w:pict>
              </mc:Fallback>
            </mc:AlternateContent>
          </w:r>
          <w:r w:rsidR="00115477">
            <w:rPr>
              <w:noProof/>
            </w:rPr>
            <mc:AlternateContent>
              <mc:Choice Requires="wps">
                <w:drawing>
                  <wp:anchor distT="0" distB="0" distL="114300" distR="114300" simplePos="0" relativeHeight="251661312" behindDoc="0" locked="1" layoutInCell="1" allowOverlap="1" wp14:anchorId="19B07BD1" wp14:editId="783C153E">
                    <wp:simplePos x="0" y="0"/>
                    <wp:positionH relativeFrom="margin">
                      <wp:posOffset>4105275</wp:posOffset>
                    </wp:positionH>
                    <wp:positionV relativeFrom="page">
                      <wp:posOffset>8420100</wp:posOffset>
                    </wp:positionV>
                    <wp:extent cx="1841500" cy="276225"/>
                    <wp:effectExtent l="0" t="0" r="6350" b="952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18415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A06D0" w14:textId="5A887AD5" w:rsidR="009E7127" w:rsidRDefault="00AA124B">
                                <w:pPr>
                                  <w:pStyle w:val="Contactinfo"/>
                                </w:pPr>
                                <w:r>
                                  <w:t>May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323.25pt;margin-top:663pt;width:14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" filled="f" stroked="f" strokeweight=".5pt">
                    <v:textbox inset="0,0,0,0">
                      <w:txbxContent>
                        <w:p w14:paraId="15BA06D0" w14:textId="5A887AD5" w:rsidR="009E7127" w:rsidRDefault="00AA124B">
                          <w:pPr>
                            <w:pStyle w:val="Contactinfo"/>
                          </w:pPr>
                          <w:r>
                            <w:t>May 2022</w:t>
                          </w:r>
                        </w:p>
                      </w:txbxContent>
                    </v:textbox>
                    <w10:wrap type="square" anchorx="margin" anchory="page"/>
                    <w10:anchorlock/>
                  </v:shape>
                </w:pict>
              </mc:Fallback>
            </mc:AlternateContent>
          </w:r>
          <w:r w:rsidR="00115477">
            <w:rPr>
              <w:noProof/>
            </w:rPr>
            <mc:AlternateContent>
              <mc:Choice Requires="wps">
                <w:drawing>
                  <wp:anchor distT="0" distB="0" distL="114300" distR="114300" simplePos="0" relativeHeight="251660288" behindDoc="0" locked="1" layoutInCell="1" allowOverlap="1" wp14:anchorId="3E4EA40E" wp14:editId="3A7556E5">
                    <wp:simplePos x="0" y="0"/>
                    <wp:positionH relativeFrom="margin">
                      <wp:posOffset>46990</wp:posOffset>
                    </wp:positionH>
                    <wp:positionV relativeFrom="page">
                      <wp:posOffset>4581525</wp:posOffset>
                    </wp:positionV>
                    <wp:extent cx="7038975" cy="35433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7038975"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4D67D" w14:textId="129B23BE" w:rsidR="009E7127" w:rsidRPr="0070215E" w:rsidRDefault="00504C73" w:rsidP="008B6F13">
                                <w:pPr>
                                  <w:pStyle w:val="Title"/>
                                  <w:jc w:val="left"/>
                                  <w:rPr>
                                    <w:rFonts w:cstheme="majorHAnsi"/>
                                    <w:sz w:val="36"/>
                                    <w:szCs w:val="36"/>
                                  </w:rPr>
                                </w:pPr>
                                <w:sdt>
                                  <w:sdtPr>
                                    <w:rPr>
                                      <w:sz w:val="36"/>
                                      <w:szCs w:val="36"/>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EA252D">
                                      <w:rPr>
                                        <w:sz w:val="36"/>
                                        <w:szCs w:val="36"/>
                                      </w:rPr>
                                      <w:t>Appendix 3.5.</w:t>
                                    </w:r>
                                    <w:r w:rsidR="0070215E">
                                      <w:rPr>
                                        <w:sz w:val="36"/>
                                        <w:szCs w:val="36"/>
                                      </w:rPr>
                                      <w:t>6</w:t>
                                    </w:r>
                                  </w:sdtContent>
                                </w:sdt>
                                <w:r w:rsidR="0000425E" w:rsidRPr="00EA252D">
                                  <w:rPr>
                                    <w:sz w:val="36"/>
                                    <w:szCs w:val="36"/>
                                  </w:rPr>
                                  <w:t xml:space="preserve"> </w:t>
                                </w:r>
                                <w:r w:rsidR="0070215E" w:rsidRPr="0070215E">
                                  <w:rPr>
                                    <w:rFonts w:cstheme="majorHAnsi"/>
                                    <w:sz w:val="36"/>
                                    <w:szCs w:val="36"/>
                                  </w:rPr>
                                  <w:t>CMHPC Handling of Solid Waste Contaminated with a Category A Infectious Substance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EA40E" id="Text Box 37" o:spid="_x0000_s1027" type="#_x0000_t202" alt="Title and subtitle" style="position:absolute;left:0;text-align:left;margin-left:3.7pt;margin-top:360.75pt;width:554.2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" filled="f" stroked="f" strokeweight=".5pt">
                    <v:textbox inset="0,0,0,0">
                      <w:txbxContent>
                        <w:p w14:paraId="5C04D67D" w14:textId="129B23BE" w:rsidR="009E7127" w:rsidRPr="0070215E" w:rsidRDefault="00504C73" w:rsidP="008B6F13">
                          <w:pPr>
                            <w:pStyle w:val="Title"/>
                            <w:jc w:val="left"/>
                            <w:rPr>
                              <w:rFonts w:cstheme="majorHAnsi"/>
                              <w:sz w:val="36"/>
                              <w:szCs w:val="36"/>
                            </w:rPr>
                          </w:pPr>
                          <w:sdt>
                            <w:sdtPr>
                              <w:rPr>
                                <w:sz w:val="36"/>
                                <w:szCs w:val="36"/>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EA252D">
                                <w:rPr>
                                  <w:sz w:val="36"/>
                                  <w:szCs w:val="36"/>
                                </w:rPr>
                                <w:t>Appendix 3.5.</w:t>
                              </w:r>
                              <w:r w:rsidR="0070215E">
                                <w:rPr>
                                  <w:sz w:val="36"/>
                                  <w:szCs w:val="36"/>
                                </w:rPr>
                                <w:t>6</w:t>
                              </w:r>
                            </w:sdtContent>
                          </w:sdt>
                          <w:r w:rsidR="0000425E" w:rsidRPr="00EA252D">
                            <w:rPr>
                              <w:sz w:val="36"/>
                              <w:szCs w:val="36"/>
                            </w:rPr>
                            <w:t xml:space="preserve"> </w:t>
                          </w:r>
                          <w:r w:rsidR="0070215E" w:rsidRPr="0070215E">
                            <w:rPr>
                              <w:rFonts w:cstheme="majorHAnsi"/>
                              <w:sz w:val="36"/>
                              <w:szCs w:val="36"/>
                            </w:rPr>
                            <w:t>CMHPC Handling of Solid Waste Contaminated with a Category A Infectious Substance</w:t>
                          </w:r>
                        </w:p>
                      </w:txbxContent>
                    </v:textbox>
                    <w10:wrap type="square" anchorx="margin" anchory="page"/>
                    <w10:anchorlock/>
                  </v:shape>
                </w:pict>
              </mc:Fallback>
            </mc:AlternateContent>
          </w:r>
          <w:r w:rsidR="00115477">
            <w:rPr>
              <w:noProof/>
              <w:color w:val="242852" w:themeColor="text2"/>
              <w:sz w:val="32"/>
              <w:szCs w:val="32"/>
            </w:rPr>
            <w:br w:type="page"/>
          </w:r>
        </w:p>
        <w:p w14:paraId="35603FAC" w14:textId="08AE2207" w:rsidR="00CB6975" w:rsidRDefault="00504C73" w:rsidP="00120478">
          <w:pPr>
            <w:tabs>
              <w:tab w:val="left" w:pos="4395"/>
            </w:tabs>
            <w:spacing w:after="0"/>
            <w:ind w:left="720" w:right="0"/>
            <w:jc w:val="both"/>
            <w:rPr>
              <w:noProof/>
              <w:color w:val="242852" w:themeColor="text2"/>
              <w:sz w:val="32"/>
              <w:szCs w:val="32"/>
            </w:rPr>
          </w:pPr>
        </w:p>
      </w:sdtContent>
    </w:sdt>
    <w:p w14:paraId="002CE664" w14:textId="77777777" w:rsidR="009E7127" w:rsidRDefault="00CB6975" w:rsidP="00806968">
      <w:pPr>
        <w:pStyle w:val="Heading2"/>
        <w:spacing w:line="360" w:lineRule="auto"/>
      </w:pPr>
      <w:r w:rsidRPr="00CB6975">
        <w:t xml:space="preserve"> </w:t>
      </w:r>
    </w:p>
    <w:sdt>
      <w:sdtPr>
        <w:rPr>
          <w:rFonts w:asciiTheme="minorHAnsi" w:eastAsiaTheme="minorEastAsia" w:hAnsiTheme="minorHAnsi" w:cstheme="minorBidi"/>
          <w:caps w:val="0"/>
          <w:color w:val="auto"/>
          <w:sz w:val="24"/>
          <w:szCs w:val="22"/>
        </w:rPr>
        <w:id w:val="1554572579"/>
        <w:docPartObj>
          <w:docPartGallery w:val="Table of Contents"/>
          <w:docPartUnique/>
        </w:docPartObj>
      </w:sdtPr>
      <w:sdtEndPr>
        <w:rPr>
          <w:b/>
          <w:bCs/>
          <w:noProof/>
        </w:rPr>
      </w:sdtEndPr>
      <w:sdtContent>
        <w:p w14:paraId="52AC907F" w14:textId="3A92D724" w:rsidR="00CA5F09" w:rsidRDefault="00CA5F09">
          <w:pPr>
            <w:pStyle w:val="TOCHeading"/>
          </w:pPr>
          <w:r>
            <w:t>Contents</w:t>
          </w:r>
        </w:p>
        <w:p w14:paraId="69A3C410" w14:textId="3C09A443" w:rsidR="002123F2" w:rsidRDefault="006A05E1">
          <w:pPr>
            <w:pStyle w:val="TOC2"/>
            <w:tabs>
              <w:tab w:val="right" w:leader="dot" w:pos="9566"/>
            </w:tabs>
            <w:rPr>
              <w:noProof/>
              <w:kern w:val="0"/>
              <w:sz w:val="22"/>
              <w:lang w:eastAsia="en-US"/>
              <w14:ligatures w14:val="none"/>
            </w:rPr>
          </w:pPr>
          <w:r>
            <w:fldChar w:fldCharType="begin"/>
          </w:r>
          <w:r>
            <w:instrText xml:space="preserve"> TOC \o "1-4" \h \z \u </w:instrText>
          </w:r>
          <w:r>
            <w:fldChar w:fldCharType="separate"/>
          </w:r>
          <w:hyperlink w:anchor="_Toc103717314" w:history="1">
            <w:r w:rsidR="002123F2" w:rsidRPr="00D52CCF">
              <w:rPr>
                <w:rStyle w:val="Hyperlink"/>
                <w:rFonts w:eastAsia="Calibri"/>
                <w:noProof/>
                <w:lang w:eastAsia="en-US"/>
              </w:rPr>
              <w:t>What Constitutes Category ‘A’ Agents</w:t>
            </w:r>
            <w:r w:rsidR="002123F2">
              <w:rPr>
                <w:noProof/>
                <w:webHidden/>
              </w:rPr>
              <w:tab/>
            </w:r>
            <w:r w:rsidR="002123F2">
              <w:rPr>
                <w:noProof/>
                <w:webHidden/>
              </w:rPr>
              <w:fldChar w:fldCharType="begin"/>
            </w:r>
            <w:r w:rsidR="002123F2">
              <w:rPr>
                <w:noProof/>
                <w:webHidden/>
              </w:rPr>
              <w:instrText xml:space="preserve"> PAGEREF _Toc103717314 \h </w:instrText>
            </w:r>
            <w:r w:rsidR="002123F2">
              <w:rPr>
                <w:noProof/>
                <w:webHidden/>
              </w:rPr>
            </w:r>
            <w:r w:rsidR="002123F2">
              <w:rPr>
                <w:noProof/>
                <w:webHidden/>
              </w:rPr>
              <w:fldChar w:fldCharType="separate"/>
            </w:r>
            <w:r w:rsidR="002123F2">
              <w:rPr>
                <w:noProof/>
                <w:webHidden/>
              </w:rPr>
              <w:t>3</w:t>
            </w:r>
            <w:r w:rsidR="002123F2">
              <w:rPr>
                <w:noProof/>
                <w:webHidden/>
              </w:rPr>
              <w:fldChar w:fldCharType="end"/>
            </w:r>
          </w:hyperlink>
        </w:p>
        <w:p w14:paraId="4AA59153" w14:textId="1272EE0A" w:rsidR="002123F2" w:rsidRDefault="002123F2">
          <w:pPr>
            <w:pStyle w:val="TOC3"/>
            <w:tabs>
              <w:tab w:val="right" w:leader="dot" w:pos="9566"/>
            </w:tabs>
            <w:rPr>
              <w:noProof/>
              <w:kern w:val="0"/>
              <w:sz w:val="22"/>
              <w:lang w:eastAsia="en-US"/>
              <w14:ligatures w14:val="none"/>
            </w:rPr>
          </w:pPr>
          <w:hyperlink w:anchor="_Toc103717315" w:history="1">
            <w:r w:rsidRPr="00D52CCF">
              <w:rPr>
                <w:rStyle w:val="Hyperlink"/>
                <w:noProof/>
              </w:rPr>
              <w:t>Healthcare Facility Guidance</w:t>
            </w:r>
            <w:r>
              <w:rPr>
                <w:noProof/>
                <w:webHidden/>
              </w:rPr>
              <w:tab/>
            </w:r>
            <w:r>
              <w:rPr>
                <w:noProof/>
                <w:webHidden/>
              </w:rPr>
              <w:fldChar w:fldCharType="begin"/>
            </w:r>
            <w:r>
              <w:rPr>
                <w:noProof/>
                <w:webHidden/>
              </w:rPr>
              <w:instrText xml:space="preserve"> PAGEREF _Toc103717315 \h </w:instrText>
            </w:r>
            <w:r>
              <w:rPr>
                <w:noProof/>
                <w:webHidden/>
              </w:rPr>
            </w:r>
            <w:r>
              <w:rPr>
                <w:noProof/>
                <w:webHidden/>
              </w:rPr>
              <w:fldChar w:fldCharType="separate"/>
            </w:r>
            <w:r>
              <w:rPr>
                <w:noProof/>
                <w:webHidden/>
              </w:rPr>
              <w:t>3</w:t>
            </w:r>
            <w:r>
              <w:rPr>
                <w:noProof/>
                <w:webHidden/>
              </w:rPr>
              <w:fldChar w:fldCharType="end"/>
            </w:r>
          </w:hyperlink>
        </w:p>
        <w:p w14:paraId="4CC4EC20" w14:textId="05778AFA" w:rsidR="002123F2" w:rsidRDefault="002123F2">
          <w:pPr>
            <w:pStyle w:val="TOC3"/>
            <w:tabs>
              <w:tab w:val="right" w:leader="dot" w:pos="9566"/>
            </w:tabs>
            <w:rPr>
              <w:noProof/>
              <w:kern w:val="0"/>
              <w:sz w:val="22"/>
              <w:lang w:eastAsia="en-US"/>
              <w14:ligatures w14:val="none"/>
            </w:rPr>
          </w:pPr>
          <w:hyperlink w:anchor="_Toc103717316" w:history="1">
            <w:r w:rsidRPr="00D52CCF">
              <w:rPr>
                <w:rStyle w:val="Hyperlink"/>
                <w:noProof/>
              </w:rPr>
              <w:t>Isolation and Management of Highly Infectious Disease-Contaminated Solid Medical Waste</w:t>
            </w:r>
            <w:r>
              <w:rPr>
                <w:noProof/>
                <w:webHidden/>
              </w:rPr>
              <w:tab/>
            </w:r>
            <w:r>
              <w:rPr>
                <w:noProof/>
                <w:webHidden/>
              </w:rPr>
              <w:fldChar w:fldCharType="begin"/>
            </w:r>
            <w:r>
              <w:rPr>
                <w:noProof/>
                <w:webHidden/>
              </w:rPr>
              <w:instrText xml:space="preserve"> PAGEREF _Toc103717316 \h </w:instrText>
            </w:r>
            <w:r>
              <w:rPr>
                <w:noProof/>
                <w:webHidden/>
              </w:rPr>
            </w:r>
            <w:r>
              <w:rPr>
                <w:noProof/>
                <w:webHidden/>
              </w:rPr>
              <w:fldChar w:fldCharType="separate"/>
            </w:r>
            <w:r>
              <w:rPr>
                <w:noProof/>
                <w:webHidden/>
              </w:rPr>
              <w:t>4</w:t>
            </w:r>
            <w:r>
              <w:rPr>
                <w:noProof/>
                <w:webHidden/>
              </w:rPr>
              <w:fldChar w:fldCharType="end"/>
            </w:r>
          </w:hyperlink>
        </w:p>
        <w:p w14:paraId="39A372B3" w14:textId="25B693FD" w:rsidR="002123F2" w:rsidRDefault="002123F2">
          <w:pPr>
            <w:pStyle w:val="TOC3"/>
            <w:tabs>
              <w:tab w:val="right" w:leader="dot" w:pos="9566"/>
            </w:tabs>
            <w:rPr>
              <w:noProof/>
              <w:kern w:val="0"/>
              <w:sz w:val="22"/>
              <w:lang w:eastAsia="en-US"/>
              <w14:ligatures w14:val="none"/>
            </w:rPr>
          </w:pPr>
          <w:hyperlink w:anchor="_Toc103717317" w:history="1">
            <w:r w:rsidRPr="00D52CCF">
              <w:rPr>
                <w:rStyle w:val="Hyperlink"/>
                <w:noProof/>
              </w:rPr>
              <w:t>Onsite Treatment of Highly Infectious Disease-Contaminated Solid Medical Waste</w:t>
            </w:r>
            <w:r>
              <w:rPr>
                <w:noProof/>
                <w:webHidden/>
              </w:rPr>
              <w:tab/>
            </w:r>
            <w:r>
              <w:rPr>
                <w:noProof/>
                <w:webHidden/>
              </w:rPr>
              <w:fldChar w:fldCharType="begin"/>
            </w:r>
            <w:r>
              <w:rPr>
                <w:noProof/>
                <w:webHidden/>
              </w:rPr>
              <w:instrText xml:space="preserve"> PAGEREF _Toc103717317 \h </w:instrText>
            </w:r>
            <w:r>
              <w:rPr>
                <w:noProof/>
                <w:webHidden/>
              </w:rPr>
            </w:r>
            <w:r>
              <w:rPr>
                <w:noProof/>
                <w:webHidden/>
              </w:rPr>
              <w:fldChar w:fldCharType="separate"/>
            </w:r>
            <w:r>
              <w:rPr>
                <w:noProof/>
                <w:webHidden/>
              </w:rPr>
              <w:t>4</w:t>
            </w:r>
            <w:r>
              <w:rPr>
                <w:noProof/>
                <w:webHidden/>
              </w:rPr>
              <w:fldChar w:fldCharType="end"/>
            </w:r>
          </w:hyperlink>
        </w:p>
        <w:p w14:paraId="4E740628" w14:textId="64CB1EF6" w:rsidR="002123F2" w:rsidRDefault="002123F2">
          <w:pPr>
            <w:pStyle w:val="TOC4"/>
            <w:tabs>
              <w:tab w:val="right" w:leader="dot" w:pos="9566"/>
            </w:tabs>
            <w:rPr>
              <w:noProof/>
              <w:kern w:val="0"/>
              <w:sz w:val="22"/>
              <w:lang w:eastAsia="en-US"/>
              <w14:ligatures w14:val="none"/>
            </w:rPr>
          </w:pPr>
          <w:hyperlink w:anchor="_Toc103717318" w:history="1">
            <w:r w:rsidRPr="00D52CCF">
              <w:rPr>
                <w:rStyle w:val="Hyperlink"/>
                <w:noProof/>
                <w:lang w:eastAsia="en-US"/>
              </w:rPr>
              <w:t>Onsite inactivation</w:t>
            </w:r>
            <w:r>
              <w:rPr>
                <w:noProof/>
                <w:webHidden/>
              </w:rPr>
              <w:tab/>
            </w:r>
            <w:r>
              <w:rPr>
                <w:noProof/>
                <w:webHidden/>
              </w:rPr>
              <w:fldChar w:fldCharType="begin"/>
            </w:r>
            <w:r>
              <w:rPr>
                <w:noProof/>
                <w:webHidden/>
              </w:rPr>
              <w:instrText xml:space="preserve"> PAGEREF _Toc103717318 \h </w:instrText>
            </w:r>
            <w:r>
              <w:rPr>
                <w:noProof/>
                <w:webHidden/>
              </w:rPr>
            </w:r>
            <w:r>
              <w:rPr>
                <w:noProof/>
                <w:webHidden/>
              </w:rPr>
              <w:fldChar w:fldCharType="separate"/>
            </w:r>
            <w:r>
              <w:rPr>
                <w:noProof/>
                <w:webHidden/>
              </w:rPr>
              <w:t>4</w:t>
            </w:r>
            <w:r>
              <w:rPr>
                <w:noProof/>
                <w:webHidden/>
              </w:rPr>
              <w:fldChar w:fldCharType="end"/>
            </w:r>
          </w:hyperlink>
        </w:p>
        <w:p w14:paraId="541D1129" w14:textId="726060A7" w:rsidR="002123F2" w:rsidRDefault="002123F2">
          <w:pPr>
            <w:pStyle w:val="TOC4"/>
            <w:tabs>
              <w:tab w:val="right" w:leader="dot" w:pos="9566"/>
            </w:tabs>
            <w:rPr>
              <w:noProof/>
              <w:kern w:val="0"/>
              <w:sz w:val="22"/>
              <w:lang w:eastAsia="en-US"/>
              <w14:ligatures w14:val="none"/>
            </w:rPr>
          </w:pPr>
          <w:hyperlink w:anchor="_Toc103717319" w:history="1">
            <w:r w:rsidRPr="00D52CCF">
              <w:rPr>
                <w:rStyle w:val="Hyperlink"/>
                <w:rFonts w:eastAsia="Calibri"/>
                <w:noProof/>
                <w:lang w:eastAsia="en-US"/>
              </w:rPr>
              <w:t>Onsite incineration:</w:t>
            </w:r>
            <w:r>
              <w:rPr>
                <w:noProof/>
                <w:webHidden/>
              </w:rPr>
              <w:tab/>
            </w:r>
            <w:r>
              <w:rPr>
                <w:noProof/>
                <w:webHidden/>
              </w:rPr>
              <w:fldChar w:fldCharType="begin"/>
            </w:r>
            <w:r>
              <w:rPr>
                <w:noProof/>
                <w:webHidden/>
              </w:rPr>
              <w:instrText xml:space="preserve"> PAGEREF _Toc103717319 \h </w:instrText>
            </w:r>
            <w:r>
              <w:rPr>
                <w:noProof/>
                <w:webHidden/>
              </w:rPr>
            </w:r>
            <w:r>
              <w:rPr>
                <w:noProof/>
                <w:webHidden/>
              </w:rPr>
              <w:fldChar w:fldCharType="separate"/>
            </w:r>
            <w:r>
              <w:rPr>
                <w:noProof/>
                <w:webHidden/>
              </w:rPr>
              <w:t>5</w:t>
            </w:r>
            <w:r>
              <w:rPr>
                <w:noProof/>
                <w:webHidden/>
              </w:rPr>
              <w:fldChar w:fldCharType="end"/>
            </w:r>
          </w:hyperlink>
        </w:p>
        <w:p w14:paraId="7A28298F" w14:textId="50D2BB3D" w:rsidR="002123F2" w:rsidRDefault="002123F2">
          <w:pPr>
            <w:pStyle w:val="TOC3"/>
            <w:tabs>
              <w:tab w:val="right" w:leader="dot" w:pos="9566"/>
            </w:tabs>
            <w:rPr>
              <w:noProof/>
              <w:kern w:val="0"/>
              <w:sz w:val="22"/>
              <w:lang w:eastAsia="en-US"/>
              <w14:ligatures w14:val="none"/>
            </w:rPr>
          </w:pPr>
          <w:hyperlink w:anchor="_Toc103717320" w:history="1">
            <w:r w:rsidRPr="00D52CCF">
              <w:rPr>
                <w:rStyle w:val="Hyperlink"/>
                <w:noProof/>
              </w:rPr>
              <w:t>Offsite Transport of Highly Infectious Disease-Contaminated Solid Medical Waste</w:t>
            </w:r>
            <w:r>
              <w:rPr>
                <w:noProof/>
                <w:webHidden/>
              </w:rPr>
              <w:tab/>
            </w:r>
            <w:r>
              <w:rPr>
                <w:noProof/>
                <w:webHidden/>
              </w:rPr>
              <w:fldChar w:fldCharType="begin"/>
            </w:r>
            <w:r>
              <w:rPr>
                <w:noProof/>
                <w:webHidden/>
              </w:rPr>
              <w:instrText xml:space="preserve"> PAGEREF _Toc103717320 \h </w:instrText>
            </w:r>
            <w:r>
              <w:rPr>
                <w:noProof/>
                <w:webHidden/>
              </w:rPr>
            </w:r>
            <w:r>
              <w:rPr>
                <w:noProof/>
                <w:webHidden/>
              </w:rPr>
              <w:fldChar w:fldCharType="separate"/>
            </w:r>
            <w:r>
              <w:rPr>
                <w:noProof/>
                <w:webHidden/>
              </w:rPr>
              <w:t>5</w:t>
            </w:r>
            <w:r>
              <w:rPr>
                <w:noProof/>
                <w:webHidden/>
              </w:rPr>
              <w:fldChar w:fldCharType="end"/>
            </w:r>
          </w:hyperlink>
        </w:p>
        <w:p w14:paraId="71CF40B7" w14:textId="2A9AD400" w:rsidR="002123F2" w:rsidRDefault="002123F2">
          <w:pPr>
            <w:pStyle w:val="TOC4"/>
            <w:tabs>
              <w:tab w:val="right" w:leader="dot" w:pos="9566"/>
            </w:tabs>
            <w:rPr>
              <w:noProof/>
              <w:kern w:val="0"/>
              <w:sz w:val="22"/>
              <w:lang w:eastAsia="en-US"/>
              <w14:ligatures w14:val="none"/>
            </w:rPr>
          </w:pPr>
          <w:hyperlink w:anchor="_Toc103717321" w:history="1">
            <w:r w:rsidRPr="00D52CCF">
              <w:rPr>
                <w:rStyle w:val="Hyperlink"/>
                <w:rFonts w:eastAsia="Calibri"/>
                <w:noProof/>
                <w:lang w:eastAsia="en-US"/>
              </w:rPr>
              <w:t>Individual plastic film packaging</w:t>
            </w:r>
            <w:r>
              <w:rPr>
                <w:noProof/>
                <w:webHidden/>
              </w:rPr>
              <w:tab/>
            </w:r>
            <w:r>
              <w:rPr>
                <w:noProof/>
                <w:webHidden/>
              </w:rPr>
              <w:fldChar w:fldCharType="begin"/>
            </w:r>
            <w:r>
              <w:rPr>
                <w:noProof/>
                <w:webHidden/>
              </w:rPr>
              <w:instrText xml:space="preserve"> PAGEREF _Toc103717321 \h </w:instrText>
            </w:r>
            <w:r>
              <w:rPr>
                <w:noProof/>
                <w:webHidden/>
              </w:rPr>
            </w:r>
            <w:r>
              <w:rPr>
                <w:noProof/>
                <w:webHidden/>
              </w:rPr>
              <w:fldChar w:fldCharType="separate"/>
            </w:r>
            <w:r>
              <w:rPr>
                <w:noProof/>
                <w:webHidden/>
              </w:rPr>
              <w:t>5</w:t>
            </w:r>
            <w:r>
              <w:rPr>
                <w:noProof/>
                <w:webHidden/>
              </w:rPr>
              <w:fldChar w:fldCharType="end"/>
            </w:r>
          </w:hyperlink>
        </w:p>
        <w:p w14:paraId="36F2B0BB" w14:textId="5F784877" w:rsidR="002123F2" w:rsidRDefault="002123F2">
          <w:pPr>
            <w:pStyle w:val="TOC4"/>
            <w:tabs>
              <w:tab w:val="right" w:leader="dot" w:pos="9566"/>
            </w:tabs>
            <w:rPr>
              <w:noProof/>
              <w:kern w:val="0"/>
              <w:sz w:val="22"/>
              <w:lang w:eastAsia="en-US"/>
              <w14:ligatures w14:val="none"/>
            </w:rPr>
          </w:pPr>
          <w:hyperlink w:anchor="_Toc103717322" w:history="1">
            <w:r w:rsidRPr="00D52CCF">
              <w:rPr>
                <w:rStyle w:val="Hyperlink"/>
                <w:rFonts w:eastAsia="Calibri"/>
                <w:noProof/>
                <w:lang w:eastAsia="en-US"/>
              </w:rPr>
              <w:t>Rigid outer packaging</w:t>
            </w:r>
            <w:r>
              <w:rPr>
                <w:noProof/>
                <w:webHidden/>
              </w:rPr>
              <w:tab/>
            </w:r>
            <w:r>
              <w:rPr>
                <w:noProof/>
                <w:webHidden/>
              </w:rPr>
              <w:fldChar w:fldCharType="begin"/>
            </w:r>
            <w:r>
              <w:rPr>
                <w:noProof/>
                <w:webHidden/>
              </w:rPr>
              <w:instrText xml:space="preserve"> PAGEREF _Toc103717322 \h </w:instrText>
            </w:r>
            <w:r>
              <w:rPr>
                <w:noProof/>
                <w:webHidden/>
              </w:rPr>
            </w:r>
            <w:r>
              <w:rPr>
                <w:noProof/>
                <w:webHidden/>
              </w:rPr>
              <w:fldChar w:fldCharType="separate"/>
            </w:r>
            <w:r>
              <w:rPr>
                <w:noProof/>
                <w:webHidden/>
              </w:rPr>
              <w:t>5</w:t>
            </w:r>
            <w:r>
              <w:rPr>
                <w:noProof/>
                <w:webHidden/>
              </w:rPr>
              <w:fldChar w:fldCharType="end"/>
            </w:r>
          </w:hyperlink>
        </w:p>
        <w:p w14:paraId="1772C057" w14:textId="61F0FDCE" w:rsidR="002123F2" w:rsidRDefault="002123F2">
          <w:pPr>
            <w:pStyle w:val="TOC3"/>
            <w:tabs>
              <w:tab w:val="right" w:leader="dot" w:pos="9566"/>
            </w:tabs>
            <w:rPr>
              <w:noProof/>
              <w:kern w:val="0"/>
              <w:sz w:val="22"/>
              <w:lang w:eastAsia="en-US"/>
              <w14:ligatures w14:val="none"/>
            </w:rPr>
          </w:pPr>
          <w:hyperlink w:anchor="_Toc103717323" w:history="1">
            <w:r w:rsidRPr="00D52CCF">
              <w:rPr>
                <w:rStyle w:val="Hyperlink"/>
                <w:noProof/>
              </w:rPr>
              <w:t>Recommendations for Liquid Waste Disposal</w:t>
            </w:r>
            <w:r>
              <w:rPr>
                <w:noProof/>
                <w:webHidden/>
              </w:rPr>
              <w:tab/>
            </w:r>
            <w:r>
              <w:rPr>
                <w:noProof/>
                <w:webHidden/>
              </w:rPr>
              <w:fldChar w:fldCharType="begin"/>
            </w:r>
            <w:r>
              <w:rPr>
                <w:noProof/>
                <w:webHidden/>
              </w:rPr>
              <w:instrText xml:space="preserve"> PAGEREF _Toc103717323 \h </w:instrText>
            </w:r>
            <w:r>
              <w:rPr>
                <w:noProof/>
                <w:webHidden/>
              </w:rPr>
            </w:r>
            <w:r>
              <w:rPr>
                <w:noProof/>
                <w:webHidden/>
              </w:rPr>
              <w:fldChar w:fldCharType="separate"/>
            </w:r>
            <w:r>
              <w:rPr>
                <w:noProof/>
                <w:webHidden/>
              </w:rPr>
              <w:t>6</w:t>
            </w:r>
            <w:r>
              <w:rPr>
                <w:noProof/>
                <w:webHidden/>
              </w:rPr>
              <w:fldChar w:fldCharType="end"/>
            </w:r>
          </w:hyperlink>
        </w:p>
        <w:p w14:paraId="28498B3F" w14:textId="1F6C3A30" w:rsidR="002123F2" w:rsidRDefault="002123F2">
          <w:pPr>
            <w:pStyle w:val="TOC3"/>
            <w:tabs>
              <w:tab w:val="right" w:leader="dot" w:pos="9566"/>
            </w:tabs>
            <w:rPr>
              <w:noProof/>
              <w:kern w:val="0"/>
              <w:sz w:val="22"/>
              <w:lang w:eastAsia="en-US"/>
              <w14:ligatures w14:val="none"/>
            </w:rPr>
          </w:pPr>
          <w:hyperlink w:anchor="_Toc103717324" w:history="1">
            <w:r w:rsidRPr="00D52CCF">
              <w:rPr>
                <w:rStyle w:val="Hyperlink"/>
                <w:noProof/>
              </w:rPr>
              <w:t>Additional Information</w:t>
            </w:r>
            <w:r>
              <w:rPr>
                <w:noProof/>
                <w:webHidden/>
              </w:rPr>
              <w:tab/>
            </w:r>
            <w:r>
              <w:rPr>
                <w:noProof/>
                <w:webHidden/>
              </w:rPr>
              <w:fldChar w:fldCharType="begin"/>
            </w:r>
            <w:r>
              <w:rPr>
                <w:noProof/>
                <w:webHidden/>
              </w:rPr>
              <w:instrText xml:space="preserve"> PAGEREF _Toc103717324 \h </w:instrText>
            </w:r>
            <w:r>
              <w:rPr>
                <w:noProof/>
                <w:webHidden/>
              </w:rPr>
            </w:r>
            <w:r>
              <w:rPr>
                <w:noProof/>
                <w:webHidden/>
              </w:rPr>
              <w:fldChar w:fldCharType="separate"/>
            </w:r>
            <w:r>
              <w:rPr>
                <w:noProof/>
                <w:webHidden/>
              </w:rPr>
              <w:t>7</w:t>
            </w:r>
            <w:r>
              <w:rPr>
                <w:noProof/>
                <w:webHidden/>
              </w:rPr>
              <w:fldChar w:fldCharType="end"/>
            </w:r>
          </w:hyperlink>
        </w:p>
        <w:p w14:paraId="286FA7DC" w14:textId="06F1AD01" w:rsidR="002123F2" w:rsidRDefault="002123F2">
          <w:pPr>
            <w:pStyle w:val="TOC3"/>
            <w:tabs>
              <w:tab w:val="right" w:leader="dot" w:pos="9566"/>
            </w:tabs>
            <w:rPr>
              <w:noProof/>
              <w:kern w:val="0"/>
              <w:sz w:val="22"/>
              <w:lang w:eastAsia="en-US"/>
              <w14:ligatures w14:val="none"/>
            </w:rPr>
          </w:pPr>
          <w:hyperlink w:anchor="_Toc103717325" w:history="1">
            <w:r w:rsidRPr="00D52CCF">
              <w:rPr>
                <w:rStyle w:val="Hyperlink"/>
                <w:noProof/>
              </w:rPr>
              <w:t>EMS Agency Guidance</w:t>
            </w:r>
            <w:r>
              <w:rPr>
                <w:noProof/>
                <w:webHidden/>
              </w:rPr>
              <w:tab/>
            </w:r>
            <w:r>
              <w:rPr>
                <w:noProof/>
                <w:webHidden/>
              </w:rPr>
              <w:fldChar w:fldCharType="begin"/>
            </w:r>
            <w:r>
              <w:rPr>
                <w:noProof/>
                <w:webHidden/>
              </w:rPr>
              <w:instrText xml:space="preserve"> PAGEREF _Toc103717325 \h </w:instrText>
            </w:r>
            <w:r>
              <w:rPr>
                <w:noProof/>
                <w:webHidden/>
              </w:rPr>
            </w:r>
            <w:r>
              <w:rPr>
                <w:noProof/>
                <w:webHidden/>
              </w:rPr>
              <w:fldChar w:fldCharType="separate"/>
            </w:r>
            <w:r>
              <w:rPr>
                <w:noProof/>
                <w:webHidden/>
              </w:rPr>
              <w:t>7</w:t>
            </w:r>
            <w:r>
              <w:rPr>
                <w:noProof/>
                <w:webHidden/>
              </w:rPr>
              <w:fldChar w:fldCharType="end"/>
            </w:r>
          </w:hyperlink>
        </w:p>
        <w:p w14:paraId="5E8770B2" w14:textId="504E6519" w:rsidR="002123F2" w:rsidRDefault="002123F2">
          <w:pPr>
            <w:pStyle w:val="TOC4"/>
            <w:tabs>
              <w:tab w:val="right" w:leader="dot" w:pos="9566"/>
            </w:tabs>
            <w:rPr>
              <w:noProof/>
              <w:kern w:val="0"/>
              <w:sz w:val="22"/>
              <w:lang w:eastAsia="en-US"/>
              <w14:ligatures w14:val="none"/>
            </w:rPr>
          </w:pPr>
          <w:hyperlink w:anchor="_Toc103717326" w:history="1">
            <w:r w:rsidRPr="00D52CCF">
              <w:rPr>
                <w:rStyle w:val="Hyperlink"/>
                <w:rFonts w:eastAsia="Calibri"/>
                <w:noProof/>
                <w:lang w:eastAsia="en-US"/>
              </w:rPr>
              <w:t>Patient Assessment</w:t>
            </w:r>
            <w:r>
              <w:rPr>
                <w:noProof/>
                <w:webHidden/>
              </w:rPr>
              <w:tab/>
            </w:r>
            <w:r>
              <w:rPr>
                <w:noProof/>
                <w:webHidden/>
              </w:rPr>
              <w:fldChar w:fldCharType="begin"/>
            </w:r>
            <w:r>
              <w:rPr>
                <w:noProof/>
                <w:webHidden/>
              </w:rPr>
              <w:instrText xml:space="preserve"> PAGEREF _Toc103717326 \h </w:instrText>
            </w:r>
            <w:r>
              <w:rPr>
                <w:noProof/>
                <w:webHidden/>
              </w:rPr>
            </w:r>
            <w:r>
              <w:rPr>
                <w:noProof/>
                <w:webHidden/>
              </w:rPr>
              <w:fldChar w:fldCharType="separate"/>
            </w:r>
            <w:r>
              <w:rPr>
                <w:noProof/>
                <w:webHidden/>
              </w:rPr>
              <w:t>7</w:t>
            </w:r>
            <w:r>
              <w:rPr>
                <w:noProof/>
                <w:webHidden/>
              </w:rPr>
              <w:fldChar w:fldCharType="end"/>
            </w:r>
          </w:hyperlink>
        </w:p>
        <w:p w14:paraId="0CFB4B56" w14:textId="452AF9D8" w:rsidR="002123F2" w:rsidRDefault="002123F2">
          <w:pPr>
            <w:pStyle w:val="TOC4"/>
            <w:tabs>
              <w:tab w:val="right" w:leader="dot" w:pos="9566"/>
            </w:tabs>
            <w:rPr>
              <w:noProof/>
              <w:kern w:val="0"/>
              <w:sz w:val="22"/>
              <w:lang w:eastAsia="en-US"/>
              <w14:ligatures w14:val="none"/>
            </w:rPr>
          </w:pPr>
          <w:hyperlink w:anchor="_Toc103717327" w:history="1">
            <w:r w:rsidRPr="00D52CCF">
              <w:rPr>
                <w:rStyle w:val="Hyperlink"/>
                <w:rFonts w:eastAsia="Calibri"/>
                <w:noProof/>
                <w:lang w:eastAsia="en-US"/>
              </w:rPr>
              <w:t>Protection of EMS Personnel</w:t>
            </w:r>
            <w:r>
              <w:rPr>
                <w:noProof/>
                <w:webHidden/>
              </w:rPr>
              <w:tab/>
            </w:r>
            <w:r>
              <w:rPr>
                <w:noProof/>
                <w:webHidden/>
              </w:rPr>
              <w:fldChar w:fldCharType="begin"/>
            </w:r>
            <w:r>
              <w:rPr>
                <w:noProof/>
                <w:webHidden/>
              </w:rPr>
              <w:instrText xml:space="preserve"> PAGEREF _Toc103717327 \h </w:instrText>
            </w:r>
            <w:r>
              <w:rPr>
                <w:noProof/>
                <w:webHidden/>
              </w:rPr>
            </w:r>
            <w:r>
              <w:rPr>
                <w:noProof/>
                <w:webHidden/>
              </w:rPr>
              <w:fldChar w:fldCharType="separate"/>
            </w:r>
            <w:r>
              <w:rPr>
                <w:noProof/>
                <w:webHidden/>
              </w:rPr>
              <w:t>7</w:t>
            </w:r>
            <w:r>
              <w:rPr>
                <w:noProof/>
                <w:webHidden/>
              </w:rPr>
              <w:fldChar w:fldCharType="end"/>
            </w:r>
          </w:hyperlink>
        </w:p>
        <w:p w14:paraId="1F85E096" w14:textId="709ED5D0" w:rsidR="002123F2" w:rsidRDefault="002123F2">
          <w:pPr>
            <w:pStyle w:val="TOC4"/>
            <w:tabs>
              <w:tab w:val="right" w:leader="dot" w:pos="9566"/>
            </w:tabs>
            <w:rPr>
              <w:noProof/>
              <w:kern w:val="0"/>
              <w:sz w:val="22"/>
              <w:lang w:eastAsia="en-US"/>
              <w14:ligatures w14:val="none"/>
            </w:rPr>
          </w:pPr>
          <w:hyperlink w:anchor="_Toc103717328" w:history="1">
            <w:r w:rsidRPr="00D52CCF">
              <w:rPr>
                <w:rStyle w:val="Hyperlink"/>
                <w:rFonts w:eastAsia="Calibri"/>
                <w:noProof/>
                <w:lang w:eastAsia="en-US"/>
              </w:rPr>
              <w:t>After Transport Clean-Up</w:t>
            </w:r>
            <w:r>
              <w:rPr>
                <w:noProof/>
                <w:webHidden/>
              </w:rPr>
              <w:tab/>
            </w:r>
            <w:r>
              <w:rPr>
                <w:noProof/>
                <w:webHidden/>
              </w:rPr>
              <w:fldChar w:fldCharType="begin"/>
            </w:r>
            <w:r>
              <w:rPr>
                <w:noProof/>
                <w:webHidden/>
              </w:rPr>
              <w:instrText xml:space="preserve"> PAGEREF _Toc103717328 \h </w:instrText>
            </w:r>
            <w:r>
              <w:rPr>
                <w:noProof/>
                <w:webHidden/>
              </w:rPr>
            </w:r>
            <w:r>
              <w:rPr>
                <w:noProof/>
                <w:webHidden/>
              </w:rPr>
              <w:fldChar w:fldCharType="separate"/>
            </w:r>
            <w:r>
              <w:rPr>
                <w:noProof/>
                <w:webHidden/>
              </w:rPr>
              <w:t>8</w:t>
            </w:r>
            <w:r>
              <w:rPr>
                <w:noProof/>
                <w:webHidden/>
              </w:rPr>
              <w:fldChar w:fldCharType="end"/>
            </w:r>
          </w:hyperlink>
        </w:p>
        <w:p w14:paraId="6E0592C3" w14:textId="1052BB6E" w:rsidR="002123F2" w:rsidRDefault="002123F2">
          <w:pPr>
            <w:pStyle w:val="TOC3"/>
            <w:tabs>
              <w:tab w:val="right" w:leader="dot" w:pos="9566"/>
            </w:tabs>
            <w:rPr>
              <w:noProof/>
              <w:kern w:val="0"/>
              <w:sz w:val="22"/>
              <w:lang w:eastAsia="en-US"/>
              <w14:ligatures w14:val="none"/>
            </w:rPr>
          </w:pPr>
          <w:hyperlink w:anchor="_Toc103717329" w:history="1">
            <w:r w:rsidRPr="00D52CCF">
              <w:rPr>
                <w:rStyle w:val="Hyperlink"/>
                <w:noProof/>
              </w:rPr>
              <w:t>Disposal of Waste</w:t>
            </w:r>
            <w:r>
              <w:rPr>
                <w:noProof/>
                <w:webHidden/>
              </w:rPr>
              <w:tab/>
            </w:r>
            <w:r>
              <w:rPr>
                <w:noProof/>
                <w:webHidden/>
              </w:rPr>
              <w:fldChar w:fldCharType="begin"/>
            </w:r>
            <w:r>
              <w:rPr>
                <w:noProof/>
                <w:webHidden/>
              </w:rPr>
              <w:instrText xml:space="preserve"> PAGEREF _Toc103717329 \h </w:instrText>
            </w:r>
            <w:r>
              <w:rPr>
                <w:noProof/>
                <w:webHidden/>
              </w:rPr>
            </w:r>
            <w:r>
              <w:rPr>
                <w:noProof/>
                <w:webHidden/>
              </w:rPr>
              <w:fldChar w:fldCharType="separate"/>
            </w:r>
            <w:r>
              <w:rPr>
                <w:noProof/>
                <w:webHidden/>
              </w:rPr>
              <w:t>9</w:t>
            </w:r>
            <w:r>
              <w:rPr>
                <w:noProof/>
                <w:webHidden/>
              </w:rPr>
              <w:fldChar w:fldCharType="end"/>
            </w:r>
          </w:hyperlink>
        </w:p>
        <w:p w14:paraId="66DC2C7D" w14:textId="207B9A58" w:rsidR="002123F2" w:rsidRDefault="002123F2">
          <w:pPr>
            <w:pStyle w:val="TOC3"/>
            <w:tabs>
              <w:tab w:val="right" w:leader="dot" w:pos="9566"/>
            </w:tabs>
            <w:rPr>
              <w:noProof/>
              <w:kern w:val="0"/>
              <w:sz w:val="22"/>
              <w:lang w:eastAsia="en-US"/>
              <w14:ligatures w14:val="none"/>
            </w:rPr>
          </w:pPr>
          <w:hyperlink w:anchor="_Toc103717330" w:history="1">
            <w:r w:rsidRPr="00D52CCF">
              <w:rPr>
                <w:rStyle w:val="Hyperlink"/>
                <w:noProof/>
              </w:rPr>
              <w:t>Reference:</w:t>
            </w:r>
            <w:r>
              <w:rPr>
                <w:noProof/>
                <w:webHidden/>
              </w:rPr>
              <w:tab/>
            </w:r>
            <w:r>
              <w:rPr>
                <w:noProof/>
                <w:webHidden/>
              </w:rPr>
              <w:fldChar w:fldCharType="begin"/>
            </w:r>
            <w:r>
              <w:rPr>
                <w:noProof/>
                <w:webHidden/>
              </w:rPr>
              <w:instrText xml:space="preserve"> PAGEREF _Toc103717330 \h </w:instrText>
            </w:r>
            <w:r>
              <w:rPr>
                <w:noProof/>
                <w:webHidden/>
              </w:rPr>
            </w:r>
            <w:r>
              <w:rPr>
                <w:noProof/>
                <w:webHidden/>
              </w:rPr>
              <w:fldChar w:fldCharType="separate"/>
            </w:r>
            <w:r>
              <w:rPr>
                <w:noProof/>
                <w:webHidden/>
              </w:rPr>
              <w:t>9</w:t>
            </w:r>
            <w:r>
              <w:rPr>
                <w:noProof/>
                <w:webHidden/>
              </w:rPr>
              <w:fldChar w:fldCharType="end"/>
            </w:r>
          </w:hyperlink>
        </w:p>
        <w:p w14:paraId="41302F5A" w14:textId="27A395BF" w:rsidR="00CA5F09" w:rsidRDefault="006A05E1">
          <w:r>
            <w:fldChar w:fldCharType="end"/>
          </w:r>
        </w:p>
      </w:sdtContent>
    </w:sdt>
    <w:p w14:paraId="6B0156B1" w14:textId="1327FD4B" w:rsidR="009E7127" w:rsidRDefault="009E7127" w:rsidP="00806968">
      <w:pPr>
        <w:pStyle w:val="Heading2"/>
        <w:spacing w:line="360" w:lineRule="auto"/>
      </w:pPr>
    </w:p>
    <w:p w14:paraId="002CA326" w14:textId="4D3B17F2" w:rsidR="00CA5F09" w:rsidRDefault="00CA5F09">
      <w:pPr>
        <w:spacing w:after="240" w:line="252" w:lineRule="auto"/>
        <w:ind w:left="0" w:right="0"/>
        <w:rPr>
          <w:rFonts w:asciiTheme="majorHAnsi" w:eastAsiaTheme="majorEastAsia" w:hAnsiTheme="majorHAnsi" w:cstheme="majorBidi"/>
          <w:caps/>
          <w:color w:val="990033" w:themeColor="accent2"/>
          <w:szCs w:val="24"/>
        </w:rPr>
      </w:pPr>
      <w:r>
        <w:br w:type="page"/>
      </w:r>
    </w:p>
    <w:p w14:paraId="0097E005"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lastRenderedPageBreak/>
        <w:t>This document serves as a reference for handling Category ‘A’ infectious substances safely in both the hospital setting as well as for EMS. Hospitals and EMS are required to have a waste management plan that addresses the handling of highly infectious substances.</w:t>
      </w:r>
    </w:p>
    <w:p w14:paraId="5D79D8FC" w14:textId="77777777" w:rsidR="0070215E" w:rsidRPr="0070215E" w:rsidRDefault="0070215E" w:rsidP="0070215E">
      <w:pPr>
        <w:spacing w:after="0"/>
        <w:ind w:left="0" w:right="0" w:firstLine="720"/>
        <w:rPr>
          <w:rFonts w:eastAsia="Calibri" w:cstheme="minorHAnsi"/>
          <w:color w:val="000000"/>
          <w:kern w:val="0"/>
          <w:sz w:val="22"/>
          <w:lang w:eastAsia="en-US"/>
          <w14:ligatures w14:val="none"/>
        </w:rPr>
      </w:pPr>
    </w:p>
    <w:p w14:paraId="26862C18" w14:textId="77777777" w:rsidR="0070215E" w:rsidRPr="0070215E" w:rsidRDefault="0070215E" w:rsidP="0070215E">
      <w:pPr>
        <w:pStyle w:val="Heading2"/>
        <w:ind w:left="0"/>
        <w:rPr>
          <w:rFonts w:eastAsia="Calibri"/>
          <w:lang w:eastAsia="en-US"/>
        </w:rPr>
      </w:pPr>
      <w:bookmarkStart w:id="0" w:name="_Toc103717314"/>
      <w:r w:rsidRPr="0070215E">
        <w:rPr>
          <w:rFonts w:eastAsia="Calibri"/>
          <w:lang w:eastAsia="en-US"/>
        </w:rPr>
        <w:t>What Constitutes Category ‘A’ Agents</w:t>
      </w:r>
      <w:bookmarkEnd w:id="0"/>
    </w:p>
    <w:p w14:paraId="04564CEB" w14:textId="77777777" w:rsidR="0070215E" w:rsidRPr="0070215E" w:rsidRDefault="0070215E" w:rsidP="0070215E">
      <w:pPr>
        <w:spacing w:after="0"/>
        <w:ind w:left="0" w:right="0"/>
        <w:jc w:val="both"/>
        <w:rPr>
          <w:rFonts w:eastAsia="Calibri" w:cstheme="minorHAnsi"/>
          <w:b/>
          <w:color w:val="4BACC6"/>
          <w:kern w:val="0"/>
          <w:sz w:val="22"/>
          <w:lang w:eastAsia="en-US"/>
          <w14:ligatures w14:val="none"/>
        </w:rPr>
      </w:pPr>
    </w:p>
    <w:p w14:paraId="7DD18FAF" w14:textId="3556B59F"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The Centers for Disease Control (CDC) defines Category ‘A’ agents as high-priority organisms that may pose a risk to national security because they can be easily transmitted from person to person, have the potential to result in high mortality rates and public health impact, and can cause public/social panic and/or disruption. Category ‘A’ agents include:</w:t>
      </w:r>
    </w:p>
    <w:p w14:paraId="6B82353E" w14:textId="77777777" w:rsidR="0070215E" w:rsidRPr="0070215E" w:rsidRDefault="0070215E" w:rsidP="0070215E">
      <w:pPr>
        <w:spacing w:after="0"/>
        <w:ind w:left="0" w:right="0"/>
        <w:rPr>
          <w:rFonts w:eastAsia="Calibri" w:cstheme="minorHAnsi"/>
          <w:color w:val="000000"/>
          <w:kern w:val="0"/>
          <w:sz w:val="22"/>
          <w:lang w:eastAsia="en-US"/>
          <w14:ligatures w14:val="none"/>
        </w:rPr>
      </w:pPr>
    </w:p>
    <w:p w14:paraId="7D417159" w14:textId="77777777" w:rsidR="0070215E" w:rsidRPr="0070215E" w:rsidRDefault="0070215E" w:rsidP="0070215E">
      <w:pPr>
        <w:numPr>
          <w:ilvl w:val="0"/>
          <w:numId w:val="7"/>
        </w:numPr>
        <w:spacing w:after="0" w:line="276" w:lineRule="auto"/>
        <w:ind w:right="0"/>
        <w:contextualSpacing/>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Anthrax (</w:t>
      </w:r>
      <w:r w:rsidRPr="0070215E">
        <w:rPr>
          <w:rFonts w:eastAsia="Calibri" w:cstheme="minorHAnsi"/>
          <w:i/>
          <w:color w:val="000000"/>
          <w:kern w:val="0"/>
          <w:sz w:val="22"/>
          <w:lang w:eastAsia="en-US"/>
          <w14:ligatures w14:val="none"/>
        </w:rPr>
        <w:t>Bacillus anthracis)</w:t>
      </w:r>
    </w:p>
    <w:p w14:paraId="52A65DD7" w14:textId="77777777" w:rsidR="0070215E" w:rsidRPr="0070215E" w:rsidRDefault="0070215E" w:rsidP="0070215E">
      <w:pPr>
        <w:numPr>
          <w:ilvl w:val="0"/>
          <w:numId w:val="7"/>
        </w:numPr>
        <w:spacing w:after="0" w:line="276" w:lineRule="auto"/>
        <w:ind w:right="0"/>
        <w:contextualSpacing/>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Botulism (</w:t>
      </w:r>
      <w:r w:rsidRPr="0070215E">
        <w:rPr>
          <w:rFonts w:eastAsia="Calibri" w:cstheme="minorHAnsi"/>
          <w:i/>
          <w:color w:val="000000"/>
          <w:kern w:val="0"/>
          <w:sz w:val="22"/>
          <w:lang w:eastAsia="en-US"/>
          <w14:ligatures w14:val="none"/>
        </w:rPr>
        <w:t xml:space="preserve">Clostridium botulinum </w:t>
      </w:r>
      <w:r w:rsidRPr="0070215E">
        <w:rPr>
          <w:rFonts w:eastAsia="Calibri" w:cstheme="minorHAnsi"/>
          <w:color w:val="000000"/>
          <w:kern w:val="0"/>
          <w:sz w:val="22"/>
          <w:lang w:eastAsia="en-US"/>
          <w14:ligatures w14:val="none"/>
        </w:rPr>
        <w:t>toxin)</w:t>
      </w:r>
    </w:p>
    <w:p w14:paraId="536ADA58" w14:textId="77777777" w:rsidR="0070215E" w:rsidRPr="0070215E" w:rsidRDefault="0070215E" w:rsidP="0070215E">
      <w:pPr>
        <w:numPr>
          <w:ilvl w:val="0"/>
          <w:numId w:val="7"/>
        </w:numPr>
        <w:spacing w:after="0" w:line="276" w:lineRule="auto"/>
        <w:ind w:right="0"/>
        <w:contextualSpacing/>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Plague (</w:t>
      </w:r>
      <w:r w:rsidRPr="0070215E">
        <w:rPr>
          <w:rFonts w:eastAsia="Calibri" w:cstheme="minorHAnsi"/>
          <w:i/>
          <w:color w:val="000000"/>
          <w:kern w:val="0"/>
          <w:sz w:val="22"/>
          <w:lang w:eastAsia="en-US"/>
          <w14:ligatures w14:val="none"/>
        </w:rPr>
        <w:t>Yersinia pestis)</w:t>
      </w:r>
    </w:p>
    <w:p w14:paraId="4547489F" w14:textId="77777777" w:rsidR="0070215E" w:rsidRPr="0070215E" w:rsidRDefault="0070215E" w:rsidP="0070215E">
      <w:pPr>
        <w:numPr>
          <w:ilvl w:val="0"/>
          <w:numId w:val="7"/>
        </w:numPr>
        <w:spacing w:after="0" w:line="276" w:lineRule="auto"/>
        <w:ind w:right="0"/>
        <w:contextualSpacing/>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Smallpox (variola major)</w:t>
      </w:r>
    </w:p>
    <w:p w14:paraId="5AB9CFC1" w14:textId="77777777" w:rsidR="0070215E" w:rsidRPr="0070215E" w:rsidRDefault="0070215E" w:rsidP="0070215E">
      <w:pPr>
        <w:numPr>
          <w:ilvl w:val="0"/>
          <w:numId w:val="7"/>
        </w:numPr>
        <w:spacing w:after="0" w:line="276" w:lineRule="auto"/>
        <w:ind w:right="0"/>
        <w:contextualSpacing/>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Tularemia (</w:t>
      </w:r>
      <w:r w:rsidRPr="0070215E">
        <w:rPr>
          <w:rFonts w:eastAsia="Calibri" w:cstheme="minorHAnsi"/>
          <w:i/>
          <w:color w:val="000000"/>
          <w:kern w:val="0"/>
          <w:sz w:val="22"/>
          <w:lang w:eastAsia="en-US"/>
          <w14:ligatures w14:val="none"/>
        </w:rPr>
        <w:t>Francisella tularensis)</w:t>
      </w:r>
    </w:p>
    <w:p w14:paraId="256410B5" w14:textId="77777777" w:rsidR="0070215E" w:rsidRPr="0070215E" w:rsidRDefault="0070215E" w:rsidP="0070215E">
      <w:pPr>
        <w:numPr>
          <w:ilvl w:val="0"/>
          <w:numId w:val="7"/>
        </w:numPr>
        <w:spacing w:after="0" w:line="276" w:lineRule="auto"/>
        <w:ind w:right="0"/>
        <w:contextualSpacing/>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Viral hemorrhagic fevers (filoviruses [e.g., Ebola, Manburg] and arenaviruses [e.g., Lassa, Machupo])</w:t>
      </w:r>
    </w:p>
    <w:p w14:paraId="0AE1B152" w14:textId="77777777" w:rsidR="0070215E" w:rsidRPr="0070215E" w:rsidRDefault="0070215E" w:rsidP="0070215E">
      <w:pPr>
        <w:spacing w:after="0"/>
        <w:ind w:left="720" w:right="0"/>
        <w:contextualSpacing/>
        <w:rPr>
          <w:rFonts w:eastAsia="Calibri" w:cstheme="minorHAnsi"/>
          <w:color w:val="000000"/>
          <w:kern w:val="0"/>
          <w:sz w:val="22"/>
          <w:lang w:eastAsia="en-US"/>
          <w14:ligatures w14:val="none"/>
        </w:rPr>
      </w:pPr>
    </w:p>
    <w:p w14:paraId="0F5C47CC" w14:textId="77777777" w:rsidR="0070215E" w:rsidRPr="0070215E" w:rsidRDefault="0070215E" w:rsidP="0070215E">
      <w:pPr>
        <w:spacing w:after="0"/>
        <w:ind w:left="0" w:right="0" w:firstLine="360"/>
        <w:rPr>
          <w:rFonts w:eastAsia="Calibri" w:cstheme="minorHAnsi"/>
          <w:color w:val="0000FF"/>
          <w:kern w:val="0"/>
          <w:sz w:val="22"/>
          <w:u w:val="single"/>
          <w:lang w:eastAsia="en-US"/>
          <w14:ligatures w14:val="none"/>
        </w:rPr>
      </w:pPr>
      <w:hyperlink r:id="rId12" w:history="1">
        <w:r w:rsidRPr="0070215E">
          <w:rPr>
            <w:rFonts w:eastAsia="Calibri" w:cstheme="minorHAnsi"/>
            <w:color w:val="0000FF"/>
            <w:kern w:val="0"/>
            <w:sz w:val="22"/>
            <w:u w:val="single"/>
            <w:lang w:eastAsia="en-US"/>
            <w14:ligatures w14:val="none"/>
          </w:rPr>
          <w:t>https://www.cdc.gov/phpr/publications/2008/appendix6.pdf</w:t>
        </w:r>
      </w:hyperlink>
    </w:p>
    <w:p w14:paraId="623B08A4" w14:textId="77777777" w:rsidR="0070215E" w:rsidRPr="0070215E" w:rsidRDefault="0070215E" w:rsidP="0070215E">
      <w:pPr>
        <w:spacing w:after="0"/>
        <w:ind w:left="0" w:right="0"/>
        <w:rPr>
          <w:rFonts w:eastAsia="Calibri" w:cstheme="minorHAnsi"/>
          <w:color w:val="000000"/>
          <w:kern w:val="0"/>
          <w:sz w:val="22"/>
          <w:lang w:eastAsia="en-US"/>
          <w14:ligatures w14:val="none"/>
        </w:rPr>
      </w:pPr>
    </w:p>
    <w:p w14:paraId="0DC769E0" w14:textId="77777777" w:rsidR="0070215E" w:rsidRPr="0070215E" w:rsidRDefault="0070215E" w:rsidP="0070215E">
      <w:pPr>
        <w:pStyle w:val="Heading3"/>
      </w:pPr>
    </w:p>
    <w:p w14:paraId="3635783D" w14:textId="77777777" w:rsidR="0070215E" w:rsidRPr="0070215E" w:rsidRDefault="0070215E" w:rsidP="0070215E">
      <w:pPr>
        <w:pStyle w:val="Heading3"/>
      </w:pPr>
      <w:bookmarkStart w:id="1" w:name="_Toc103717315"/>
      <w:r w:rsidRPr="0070215E">
        <w:t>Healthcare Facility Guidance</w:t>
      </w:r>
      <w:bookmarkEnd w:id="1"/>
    </w:p>
    <w:p w14:paraId="3C52890A" w14:textId="77777777" w:rsidR="0070215E" w:rsidRPr="0070215E" w:rsidRDefault="0070215E" w:rsidP="0070215E">
      <w:pPr>
        <w:spacing w:after="0"/>
        <w:ind w:left="0" w:right="0"/>
        <w:rPr>
          <w:rFonts w:eastAsia="Calibri" w:cstheme="minorHAnsi"/>
          <w:b/>
          <w:color w:val="4BACC6"/>
          <w:kern w:val="0"/>
          <w:sz w:val="22"/>
          <w:lang w:eastAsia="en-US"/>
          <w14:ligatures w14:val="none"/>
        </w:rPr>
      </w:pPr>
    </w:p>
    <w:p w14:paraId="4560060C"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Category A infectious waste products contain highly infectious agents, contained within blood or bodily fluids (urine, saliva, sweat, feces, vomit, breast milk, and semen) from an infected person.  Contact via direct contact (through broken skin or mucous membranes such as eyes, nose, or mouth) with another person can spread the infection to others.  </w:t>
      </w:r>
    </w:p>
    <w:p w14:paraId="0FD4C3CB" w14:textId="77777777" w:rsidR="0070215E" w:rsidRPr="0070215E" w:rsidRDefault="0070215E" w:rsidP="0070215E">
      <w:pPr>
        <w:spacing w:after="0"/>
        <w:ind w:left="0" w:right="0" w:firstLine="720"/>
        <w:rPr>
          <w:rFonts w:eastAsia="Calibri" w:cstheme="minorHAnsi"/>
          <w:color w:val="000000"/>
          <w:kern w:val="0"/>
          <w:sz w:val="22"/>
          <w:lang w:eastAsia="en-US"/>
          <w14:ligatures w14:val="none"/>
        </w:rPr>
      </w:pPr>
    </w:p>
    <w:p w14:paraId="7067F685"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Objects such as needles, syringes, personal protective equipment, or textiles that have been exposed to the highly infectious agent, may transmit the disease to another person. Therefore, proper disinfection and waste disposal practices are vital when healthcare workers are caring for a patient with a suspected or confirmed highly infectious disease. </w:t>
      </w:r>
    </w:p>
    <w:p w14:paraId="5F6939DC" w14:textId="77777777" w:rsidR="0070215E" w:rsidRPr="0070215E" w:rsidRDefault="0070215E" w:rsidP="0070215E">
      <w:pPr>
        <w:spacing w:after="0"/>
        <w:ind w:left="0" w:right="0"/>
        <w:rPr>
          <w:rFonts w:eastAsia="Calibri" w:cstheme="minorHAnsi"/>
          <w:color w:val="000000"/>
          <w:kern w:val="0"/>
          <w:sz w:val="22"/>
          <w:lang w:eastAsia="en-US"/>
          <w14:ligatures w14:val="none"/>
        </w:rPr>
      </w:pPr>
    </w:p>
    <w:p w14:paraId="62DD9C57"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NOTE: Handling suspected or confirmed highly infectious disease-associated waste should be done with strict guidelines to handling, transport, and disposal. However, if a treated patient is no longer considered a highly infectious disease risk patient, then any waste generated for the remainder of the patient's care should be treated as regulated medical waste as set forth by the healthcare facility’s guidelines for waste disposal. </w:t>
      </w:r>
    </w:p>
    <w:p w14:paraId="6AC39343" w14:textId="77777777" w:rsidR="0070215E" w:rsidRPr="0070215E" w:rsidRDefault="0070215E" w:rsidP="0070215E">
      <w:pPr>
        <w:spacing w:after="0"/>
        <w:ind w:left="0" w:right="0" w:firstLine="720"/>
        <w:rPr>
          <w:rFonts w:eastAsia="Calibri" w:cstheme="minorHAnsi"/>
          <w:color w:val="000000"/>
          <w:kern w:val="0"/>
          <w:sz w:val="22"/>
          <w:lang w:eastAsia="en-US"/>
          <w14:ligatures w14:val="none"/>
        </w:rPr>
      </w:pPr>
    </w:p>
    <w:p w14:paraId="6BF5737D" w14:textId="77777777" w:rsidR="0070215E" w:rsidRPr="0070215E" w:rsidRDefault="0070215E" w:rsidP="0070215E">
      <w:pPr>
        <w:spacing w:after="0"/>
        <w:ind w:left="0" w:right="0" w:firstLine="720"/>
        <w:rPr>
          <w:rFonts w:eastAsia="Calibri" w:cstheme="minorHAnsi"/>
          <w:color w:val="000000"/>
          <w:kern w:val="0"/>
          <w:sz w:val="22"/>
          <w:lang w:eastAsia="en-US"/>
          <w14:ligatures w14:val="none"/>
        </w:rPr>
      </w:pPr>
    </w:p>
    <w:p w14:paraId="425C6FCE" w14:textId="77777777" w:rsidR="0070215E" w:rsidRPr="0070215E" w:rsidRDefault="0070215E" w:rsidP="0070215E">
      <w:pPr>
        <w:pStyle w:val="Heading3"/>
      </w:pPr>
      <w:bookmarkStart w:id="2" w:name="_Toc103717316"/>
      <w:r w:rsidRPr="0070215E">
        <w:lastRenderedPageBreak/>
        <w:t>Isolation and Management of Highly Infectious Disease-Contaminated Solid Medical Waste</w:t>
      </w:r>
      <w:bookmarkEnd w:id="2"/>
      <w:r w:rsidRPr="0070215E">
        <w:t xml:space="preserve"> </w:t>
      </w:r>
    </w:p>
    <w:p w14:paraId="6F3A132A" w14:textId="77777777" w:rsidR="0070215E" w:rsidRPr="0070215E" w:rsidRDefault="0070215E" w:rsidP="0070215E">
      <w:pPr>
        <w:spacing w:after="0"/>
        <w:ind w:left="0" w:right="0"/>
        <w:rPr>
          <w:rFonts w:eastAsia="Calibri" w:cstheme="minorHAnsi"/>
          <w:b/>
          <w:color w:val="000000"/>
          <w:kern w:val="0"/>
          <w:sz w:val="22"/>
          <w:lang w:eastAsia="en-US"/>
          <w14:ligatures w14:val="none"/>
        </w:rPr>
      </w:pPr>
    </w:p>
    <w:p w14:paraId="21FE3097"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Medical waste contaminated with highly infectious disease contaminants and any waste comingled with highly infectious disease-contaminated waste must be kept isolated from and disposed of separately from other regulated medical waste. </w:t>
      </w:r>
    </w:p>
    <w:p w14:paraId="2F9ACDEC" w14:textId="77777777" w:rsidR="0070215E" w:rsidRPr="0070215E" w:rsidRDefault="0070215E" w:rsidP="0070215E">
      <w:pPr>
        <w:spacing w:after="0"/>
        <w:ind w:left="0" w:right="0" w:firstLine="720"/>
        <w:rPr>
          <w:rFonts w:eastAsia="Calibri" w:cstheme="minorHAnsi"/>
          <w:color w:val="000000"/>
          <w:kern w:val="0"/>
          <w:sz w:val="22"/>
          <w:lang w:eastAsia="en-US"/>
          <w14:ligatures w14:val="none"/>
        </w:rPr>
      </w:pPr>
    </w:p>
    <w:p w14:paraId="60DAB1FF" w14:textId="61020512" w:rsidR="0070215E" w:rsidRPr="0070215E" w:rsidRDefault="0070215E" w:rsidP="0070215E">
      <w:pPr>
        <w:pStyle w:val="ListParagraph"/>
        <w:numPr>
          <w:ilvl w:val="0"/>
          <w:numId w:val="18"/>
        </w:numPr>
        <w:rPr>
          <w:rFonts w:eastAsia="Calibri" w:cstheme="minorHAnsi"/>
          <w:color w:val="000000"/>
        </w:rPr>
      </w:pPr>
      <w:r w:rsidRPr="0070215E">
        <w:rPr>
          <w:rFonts w:eastAsia="Calibri" w:cstheme="minorHAnsi"/>
          <w:color w:val="000000"/>
        </w:rPr>
        <w:t xml:space="preserve">Waste generated during the treatment of a suspected or confirmed highly infectious disease patient should be collected in the patient's room or designated </w:t>
      </w:r>
      <w:proofErr w:type="gramStart"/>
      <w:r w:rsidRPr="0070215E">
        <w:rPr>
          <w:rFonts w:eastAsia="Calibri" w:cstheme="minorHAnsi"/>
          <w:color w:val="000000"/>
        </w:rPr>
        <w:t>area, and</w:t>
      </w:r>
      <w:proofErr w:type="gramEnd"/>
      <w:r w:rsidRPr="0070215E">
        <w:rPr>
          <w:rFonts w:eastAsia="Calibri" w:cstheme="minorHAnsi"/>
          <w:color w:val="000000"/>
        </w:rPr>
        <w:t xml:space="preserve"> identified as highly infectious disease waste. </w:t>
      </w:r>
    </w:p>
    <w:p w14:paraId="40EB669E" w14:textId="5686C2D2" w:rsidR="0070215E" w:rsidRPr="0070215E" w:rsidRDefault="0070215E" w:rsidP="0070215E">
      <w:pPr>
        <w:pStyle w:val="ListParagraph"/>
        <w:numPr>
          <w:ilvl w:val="0"/>
          <w:numId w:val="18"/>
        </w:numPr>
        <w:rPr>
          <w:rFonts w:eastAsia="Calibri" w:cstheme="minorHAnsi"/>
          <w:color w:val="000000"/>
        </w:rPr>
      </w:pPr>
      <w:r w:rsidRPr="0070215E">
        <w:rPr>
          <w:rFonts w:eastAsia="Calibri" w:cstheme="minorHAnsi"/>
          <w:color w:val="000000"/>
        </w:rPr>
        <w:t xml:space="preserve">All contaminated waste should be disposed of in a leak-proof bag that is initially placed in a rigid container to provide support and decrease contamination to the exterior of the waste bag.  </w:t>
      </w:r>
    </w:p>
    <w:p w14:paraId="621050A7" w14:textId="77777777" w:rsidR="0070215E" w:rsidRDefault="0070215E" w:rsidP="0070215E">
      <w:pPr>
        <w:pStyle w:val="ListParagraph"/>
        <w:numPr>
          <w:ilvl w:val="0"/>
          <w:numId w:val="18"/>
        </w:numPr>
        <w:rPr>
          <w:rFonts w:eastAsia="Calibri" w:cstheme="minorHAnsi"/>
          <w:color w:val="000000"/>
        </w:rPr>
      </w:pPr>
      <w:r w:rsidRPr="0070215E">
        <w:rPr>
          <w:rFonts w:eastAsia="Calibri" w:cstheme="minorHAnsi"/>
          <w:color w:val="000000"/>
        </w:rPr>
        <w:t xml:space="preserve">This bag should be considered full when the waste receptacle has reached 75% capacity. </w:t>
      </w:r>
    </w:p>
    <w:p w14:paraId="21CC9337" w14:textId="5223CFD6" w:rsidR="0070215E" w:rsidRPr="0070215E" w:rsidRDefault="0070215E" w:rsidP="0070215E">
      <w:pPr>
        <w:pStyle w:val="ListParagraph"/>
        <w:numPr>
          <w:ilvl w:val="0"/>
          <w:numId w:val="18"/>
        </w:numPr>
        <w:rPr>
          <w:rFonts w:eastAsia="Calibri" w:cstheme="minorHAnsi"/>
          <w:color w:val="000000"/>
        </w:rPr>
      </w:pPr>
      <w:r w:rsidRPr="0070215E">
        <w:rPr>
          <w:rFonts w:eastAsia="Calibri" w:cstheme="minorHAnsi"/>
          <w:color w:val="000000"/>
        </w:rPr>
        <w:t xml:space="preserve">Prior to closure, treat the bagged waste with a non-aerosol liquid solution of U.S. EPA-registered hospital disinfectant with a label claim for a non-enveloped virus (e.g., norovirus, rotavirus, adenovirus, poliovirus) that is recommended by the CDC for use as a disinfectant for the highly infectious disease virus. Use a small amount sufficient to coat the surface of the materials contained within the bag without creating free liquids in the bottom. Do not attempt to stir or mix contents. </w:t>
      </w:r>
    </w:p>
    <w:p w14:paraId="40387A53" w14:textId="0513229F" w:rsidR="0070215E" w:rsidRPr="0070215E" w:rsidRDefault="0070215E" w:rsidP="0070215E">
      <w:pPr>
        <w:pStyle w:val="ListParagraph"/>
        <w:numPr>
          <w:ilvl w:val="0"/>
          <w:numId w:val="18"/>
        </w:numPr>
        <w:rPr>
          <w:rFonts w:eastAsia="Calibri" w:cstheme="minorHAnsi"/>
          <w:color w:val="000000"/>
        </w:rPr>
      </w:pPr>
      <w:r w:rsidRPr="0070215E">
        <w:rPr>
          <w:rFonts w:eastAsia="Calibri" w:cstheme="minorHAnsi"/>
          <w:color w:val="000000"/>
        </w:rPr>
        <w:t xml:space="preserve">Tie off the top of the bag with a knot or equally effective means such as heat sealing, tape, or adhesive to ensure any liquid cannot leak from the packaging. </w:t>
      </w:r>
    </w:p>
    <w:p w14:paraId="51B997B8" w14:textId="1675D96B" w:rsidR="0070215E" w:rsidRPr="0070215E" w:rsidRDefault="0070215E" w:rsidP="0070215E">
      <w:pPr>
        <w:pStyle w:val="ListParagraph"/>
        <w:numPr>
          <w:ilvl w:val="0"/>
          <w:numId w:val="18"/>
        </w:numPr>
        <w:rPr>
          <w:rFonts w:eastAsia="Calibri" w:cstheme="minorHAnsi"/>
          <w:color w:val="000000"/>
        </w:rPr>
      </w:pPr>
      <w:r w:rsidRPr="0070215E">
        <w:rPr>
          <w:rFonts w:eastAsia="Calibri" w:cstheme="minorHAnsi"/>
          <w:color w:val="000000"/>
        </w:rPr>
        <w:t xml:space="preserve">Disinfect the exterior of the bag using bleach wipes or other non-aerosol liquid solution of U.S. EPA-registered hospital disinfectant with a label claim for a non-enveloped virus (e.g., norovirus, rotavirus, adenovirus, poliovirus) that is recommended by the CDC for use as a disinfectant for the Highly infectious disease virus. </w:t>
      </w:r>
    </w:p>
    <w:p w14:paraId="57FE5851" w14:textId="2EBCFF1D" w:rsidR="0070215E" w:rsidRPr="0070215E" w:rsidRDefault="0070215E" w:rsidP="0070215E">
      <w:pPr>
        <w:pStyle w:val="ListParagraph"/>
        <w:numPr>
          <w:ilvl w:val="0"/>
          <w:numId w:val="18"/>
        </w:numPr>
        <w:rPr>
          <w:rFonts w:eastAsia="Calibri" w:cstheme="minorHAnsi"/>
          <w:color w:val="000000"/>
        </w:rPr>
      </w:pPr>
      <w:r w:rsidRPr="0070215E">
        <w:rPr>
          <w:rFonts w:eastAsia="Calibri" w:cstheme="minorHAnsi"/>
          <w:color w:val="000000"/>
        </w:rPr>
        <w:t xml:space="preserve">Place this bag in a secondary packaging and tie off the top of the bag with a knot or equally effective means such as heat sealing, tape, or adhesive to ensure any liquid cannot leak from the packaging. </w:t>
      </w:r>
    </w:p>
    <w:p w14:paraId="538EF989" w14:textId="3353D666" w:rsidR="0070215E" w:rsidRPr="0070215E" w:rsidRDefault="0070215E" w:rsidP="0070215E">
      <w:pPr>
        <w:pStyle w:val="ListParagraph"/>
        <w:numPr>
          <w:ilvl w:val="0"/>
          <w:numId w:val="18"/>
        </w:numPr>
        <w:rPr>
          <w:rFonts w:eastAsia="Calibri" w:cstheme="minorHAnsi"/>
          <w:color w:val="000000"/>
        </w:rPr>
      </w:pPr>
      <w:r w:rsidRPr="0070215E">
        <w:rPr>
          <w:rFonts w:eastAsia="Calibri" w:cstheme="minorHAnsi"/>
          <w:color w:val="000000"/>
        </w:rPr>
        <w:t xml:space="preserve">Disinfect the exterior of the secondary packaging using bleach wipes or other non-aerosol liquid solution U.S. EPA-registered hospital disinfectant with a label claim for a non-enveloped virus (e.g., norovirus, rotavirus, adenovirus, poliovirus) that is recommended by the CDC for use as a disinfectant for the Highly infectious disease virus. </w:t>
      </w:r>
    </w:p>
    <w:p w14:paraId="2F07DC01"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 </w:t>
      </w:r>
    </w:p>
    <w:p w14:paraId="5B8FE708" w14:textId="77777777" w:rsidR="0070215E" w:rsidRPr="0070215E" w:rsidRDefault="0070215E" w:rsidP="0070215E">
      <w:pPr>
        <w:pStyle w:val="Heading3"/>
      </w:pPr>
      <w:bookmarkStart w:id="3" w:name="_Toc103717317"/>
      <w:r w:rsidRPr="0070215E">
        <w:t>Onsite Treatment of Highly Infectious Disease-Contaminated Solid Medical Waste</w:t>
      </w:r>
      <w:bookmarkEnd w:id="3"/>
      <w:r w:rsidRPr="0070215E">
        <w:t xml:space="preserve"> </w:t>
      </w:r>
    </w:p>
    <w:p w14:paraId="3A9F017D" w14:textId="77777777" w:rsidR="0070215E" w:rsidRPr="0070215E" w:rsidRDefault="0070215E" w:rsidP="0070215E">
      <w:pPr>
        <w:spacing w:after="0"/>
        <w:ind w:left="0" w:right="0"/>
        <w:rPr>
          <w:rFonts w:eastAsia="Calibri" w:cstheme="minorHAnsi"/>
          <w:b/>
          <w:color w:val="000000"/>
          <w:kern w:val="0"/>
          <w:sz w:val="22"/>
          <w:lang w:eastAsia="en-US"/>
          <w14:ligatures w14:val="none"/>
        </w:rPr>
      </w:pPr>
    </w:p>
    <w:p w14:paraId="0108DB40"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Waste generated during the care of a suspected or confirmed highly infectious disease patient can be treated onsite through inactivation or incineration. </w:t>
      </w:r>
    </w:p>
    <w:p w14:paraId="37649439" w14:textId="77777777" w:rsidR="00CC5C7F" w:rsidRDefault="00CC5C7F" w:rsidP="0070215E">
      <w:pPr>
        <w:spacing w:after="0"/>
        <w:ind w:left="720" w:right="0"/>
        <w:rPr>
          <w:rFonts w:eastAsia="Calibri" w:cstheme="minorHAnsi"/>
          <w:i/>
          <w:color w:val="000000"/>
          <w:kern w:val="0"/>
          <w:sz w:val="22"/>
          <w:lang w:eastAsia="en-US"/>
          <w14:ligatures w14:val="none"/>
        </w:rPr>
      </w:pPr>
    </w:p>
    <w:p w14:paraId="08EF5AE2" w14:textId="4ADA6514" w:rsidR="0070215E" w:rsidRPr="0070215E" w:rsidRDefault="0070215E" w:rsidP="0070215E">
      <w:pPr>
        <w:spacing w:after="0"/>
        <w:ind w:left="720" w:right="0"/>
        <w:rPr>
          <w:rFonts w:eastAsia="Calibri" w:cstheme="minorHAnsi"/>
          <w:color w:val="000000"/>
          <w:kern w:val="0"/>
          <w:sz w:val="22"/>
          <w:lang w:eastAsia="en-US"/>
          <w14:ligatures w14:val="none"/>
        </w:rPr>
      </w:pPr>
      <w:bookmarkStart w:id="4" w:name="_Toc103717318"/>
      <w:r w:rsidRPr="0070215E">
        <w:rPr>
          <w:rStyle w:val="Heading4Char"/>
          <w:lang w:eastAsia="en-US"/>
        </w:rPr>
        <w:t>Onsite inactivation</w:t>
      </w:r>
      <w:bookmarkEnd w:id="4"/>
      <w:r w:rsidRPr="0070215E">
        <w:rPr>
          <w:rFonts w:eastAsia="Calibri" w:cstheme="minorHAnsi"/>
          <w:color w:val="000000"/>
          <w:kern w:val="0"/>
          <w:sz w:val="22"/>
          <w:lang w:eastAsia="en-US"/>
          <w14:ligatures w14:val="none"/>
        </w:rPr>
        <w:t xml:space="preserve">: </w:t>
      </w:r>
    </w:p>
    <w:p w14:paraId="617E5512" w14:textId="77777777" w:rsidR="0070215E" w:rsidRPr="0070215E" w:rsidRDefault="0070215E" w:rsidP="0070215E">
      <w:pPr>
        <w:numPr>
          <w:ilvl w:val="0"/>
          <w:numId w:val="13"/>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Highly infectious disease-associated waste may be inactivated using appropriate autoclaves.   </w:t>
      </w:r>
    </w:p>
    <w:p w14:paraId="4692883D" w14:textId="77777777" w:rsidR="0070215E" w:rsidRPr="0070215E" w:rsidRDefault="0070215E" w:rsidP="0070215E">
      <w:pPr>
        <w:spacing w:after="0"/>
        <w:ind w:left="720" w:right="0"/>
        <w:rPr>
          <w:rFonts w:eastAsia="Calibri" w:cstheme="minorHAnsi"/>
          <w:color w:val="000000"/>
          <w:kern w:val="0"/>
          <w:sz w:val="22"/>
          <w:lang w:eastAsia="en-US"/>
          <w14:ligatures w14:val="none"/>
        </w:rPr>
      </w:pPr>
    </w:p>
    <w:p w14:paraId="7E817581" w14:textId="77777777" w:rsidR="0070215E" w:rsidRPr="0070215E" w:rsidRDefault="0070215E" w:rsidP="00CC5C7F">
      <w:pPr>
        <w:pStyle w:val="Heading4"/>
        <w:ind w:left="720"/>
        <w:rPr>
          <w:rFonts w:eastAsia="Calibri"/>
          <w:lang w:eastAsia="en-US"/>
        </w:rPr>
      </w:pPr>
      <w:bookmarkStart w:id="5" w:name="_Toc103717319"/>
      <w:r w:rsidRPr="0070215E">
        <w:rPr>
          <w:rFonts w:eastAsia="Calibri"/>
          <w:lang w:eastAsia="en-US"/>
        </w:rPr>
        <w:lastRenderedPageBreak/>
        <w:t>Onsite incineration:</w:t>
      </w:r>
      <w:bookmarkEnd w:id="5"/>
      <w:r w:rsidRPr="0070215E">
        <w:rPr>
          <w:rFonts w:eastAsia="Calibri"/>
          <w:lang w:eastAsia="en-US"/>
        </w:rPr>
        <w:t xml:space="preserve"> </w:t>
      </w:r>
    </w:p>
    <w:p w14:paraId="4785E4E7" w14:textId="77777777" w:rsidR="0070215E" w:rsidRPr="0070215E" w:rsidRDefault="0070215E" w:rsidP="0070215E">
      <w:pPr>
        <w:numPr>
          <w:ilvl w:val="0"/>
          <w:numId w:val="13"/>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Highly infectious disease-associated waste may be inactivated using appropriate incineration. </w:t>
      </w:r>
    </w:p>
    <w:p w14:paraId="76AB4250" w14:textId="77777777" w:rsidR="0070215E" w:rsidRPr="0070215E" w:rsidRDefault="0070215E" w:rsidP="0070215E">
      <w:pPr>
        <w:spacing w:after="0"/>
        <w:ind w:left="1800" w:right="0"/>
        <w:rPr>
          <w:rFonts w:eastAsia="Calibri" w:cstheme="minorHAnsi"/>
          <w:color w:val="000000"/>
          <w:kern w:val="0"/>
          <w:sz w:val="22"/>
          <w:lang w:eastAsia="en-US"/>
          <w14:ligatures w14:val="none"/>
        </w:rPr>
      </w:pPr>
    </w:p>
    <w:p w14:paraId="231BF372" w14:textId="77777777" w:rsidR="0070215E" w:rsidRPr="0070215E" w:rsidRDefault="0070215E" w:rsidP="0070215E">
      <w:pPr>
        <w:spacing w:after="0"/>
        <w:ind w:left="720" w:right="0"/>
        <w:rPr>
          <w:rFonts w:eastAsia="Calibri" w:cstheme="minorHAnsi"/>
          <w:i/>
          <w:color w:val="000000"/>
          <w:kern w:val="0"/>
          <w:sz w:val="22"/>
          <w:lang w:eastAsia="en-US"/>
          <w14:ligatures w14:val="none"/>
        </w:rPr>
      </w:pPr>
      <w:r w:rsidRPr="0070215E">
        <w:rPr>
          <w:rFonts w:eastAsia="Calibri" w:cstheme="minorHAnsi"/>
          <w:color w:val="000000"/>
          <w:kern w:val="0"/>
          <w:sz w:val="22"/>
          <w:lang w:eastAsia="en-US"/>
          <w14:ligatures w14:val="none"/>
        </w:rPr>
        <w:t xml:space="preserve">Link to CDC guidance on disinfection and sterilization in healthcare facilities: </w:t>
      </w:r>
      <w:hyperlink r:id="rId13" w:history="1">
        <w:r w:rsidRPr="0070215E">
          <w:rPr>
            <w:rFonts w:eastAsia="Calibri" w:cstheme="minorHAnsi"/>
            <w:color w:val="0000FF"/>
            <w:kern w:val="0"/>
            <w:sz w:val="22"/>
            <w:u w:val="single"/>
            <w:lang w:eastAsia="en-US"/>
            <w14:ligatures w14:val="none"/>
          </w:rPr>
          <w:t>https://www.cdc.gov/infectioncontrol/guidelines/disinfection/index.html</w:t>
        </w:r>
      </w:hyperlink>
      <w:r w:rsidRPr="0070215E">
        <w:rPr>
          <w:rFonts w:eastAsia="Calibri" w:cstheme="minorHAnsi"/>
          <w:i/>
          <w:color w:val="000000"/>
          <w:kern w:val="0"/>
          <w:sz w:val="22"/>
          <w:lang w:eastAsia="en-US"/>
          <w14:ligatures w14:val="none"/>
        </w:rPr>
        <w:t xml:space="preserve"> </w:t>
      </w:r>
    </w:p>
    <w:p w14:paraId="025723FA" w14:textId="77777777" w:rsidR="0070215E" w:rsidRPr="0070215E" w:rsidRDefault="0070215E" w:rsidP="0070215E">
      <w:pPr>
        <w:spacing w:after="0"/>
        <w:ind w:left="720" w:right="0"/>
        <w:rPr>
          <w:rFonts w:eastAsia="Calibri" w:cstheme="minorHAnsi"/>
          <w:i/>
          <w:color w:val="000000"/>
          <w:kern w:val="0"/>
          <w:sz w:val="22"/>
          <w:lang w:eastAsia="en-US"/>
          <w14:ligatures w14:val="none"/>
        </w:rPr>
      </w:pPr>
    </w:p>
    <w:p w14:paraId="640BCCD7" w14:textId="77777777" w:rsidR="0070215E" w:rsidRPr="0070215E" w:rsidRDefault="0070215E" w:rsidP="00CC5C7F">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Highly infectious disease-associated waste that has been appropriately incinerated, autoclaved, or otherwise inactivated is no longer infectious, does not pose a health risk, and is not considered to be regulated medical waste or a hazardous material under Federal law. Products of incineration of highly infectious disease-associated waste can be transported and disposed of in accordance with state/local regulations and standard protocols for hospital waste disposal. </w:t>
      </w:r>
    </w:p>
    <w:p w14:paraId="33BE3597" w14:textId="77777777" w:rsidR="0070215E" w:rsidRPr="0070215E" w:rsidRDefault="0070215E" w:rsidP="0070215E">
      <w:pPr>
        <w:spacing w:after="0"/>
        <w:ind w:left="720" w:right="0"/>
        <w:rPr>
          <w:rFonts w:eastAsia="Calibri" w:cstheme="minorHAnsi"/>
          <w:color w:val="000000"/>
          <w:kern w:val="0"/>
          <w:sz w:val="22"/>
          <w:lang w:eastAsia="en-US"/>
          <w14:ligatures w14:val="none"/>
        </w:rPr>
      </w:pPr>
    </w:p>
    <w:p w14:paraId="231AB866" w14:textId="77777777" w:rsidR="0070215E" w:rsidRPr="0070215E" w:rsidRDefault="0070215E" w:rsidP="00CC5C7F">
      <w:pPr>
        <w:pStyle w:val="Heading3"/>
      </w:pPr>
      <w:bookmarkStart w:id="6" w:name="_Toc103717320"/>
      <w:r w:rsidRPr="0070215E">
        <w:t>Offsite Transport of Highly Infectious Disease-Contaminated Solid Medical Waste</w:t>
      </w:r>
      <w:bookmarkEnd w:id="6"/>
      <w:r w:rsidRPr="0070215E">
        <w:t xml:space="preserve"> </w:t>
      </w:r>
    </w:p>
    <w:p w14:paraId="5320F307" w14:textId="77777777" w:rsidR="0070215E" w:rsidRPr="0070215E" w:rsidRDefault="0070215E" w:rsidP="0070215E">
      <w:pPr>
        <w:spacing w:after="0"/>
        <w:ind w:left="0" w:right="0"/>
        <w:rPr>
          <w:rFonts w:eastAsia="Calibri" w:cstheme="minorHAnsi"/>
          <w:b/>
          <w:color w:val="000000"/>
          <w:kern w:val="0"/>
          <w:sz w:val="22"/>
          <w:lang w:eastAsia="en-US"/>
          <w14:ligatures w14:val="none"/>
        </w:rPr>
      </w:pPr>
    </w:p>
    <w:p w14:paraId="32182272" w14:textId="77777777" w:rsidR="0070215E" w:rsidRPr="0070215E" w:rsidRDefault="0070215E" w:rsidP="00CC5C7F">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Highly infectious disease is regulated as a Category A infectious substance and is considered a hazardous material under the U.S. Department of Transportation's Hazardous Materials Regulation (HMR; 49 C.F.R. Parts 171-180). Therefore, certain disposal protocols set forth by this regulation must be met prior to transporting highly infectious disease-associated waste to an offsite that has not been inactivated onsite. </w:t>
      </w:r>
    </w:p>
    <w:p w14:paraId="62EE2D27" w14:textId="343F4095" w:rsidR="0070215E" w:rsidRPr="0070215E" w:rsidRDefault="00CC5C7F" w:rsidP="00CC5C7F">
      <w:pPr>
        <w:spacing w:after="0"/>
        <w:ind w:left="0" w:right="0"/>
        <w:rPr>
          <w:rFonts w:eastAsia="Calibri" w:cstheme="minorHAnsi"/>
          <w:color w:val="000000"/>
          <w:kern w:val="0"/>
          <w:sz w:val="22"/>
          <w:lang w:eastAsia="en-US"/>
          <w14:ligatures w14:val="none"/>
        </w:rPr>
      </w:pPr>
      <w:r>
        <w:rPr>
          <w:rFonts w:eastAsia="Calibri" w:cstheme="minorHAnsi"/>
          <w:color w:val="000000"/>
          <w:kern w:val="0"/>
          <w:sz w:val="22"/>
          <w:lang w:eastAsia="en-US"/>
          <w14:ligatures w14:val="none"/>
        </w:rPr>
        <w:br/>
      </w:r>
      <w:r w:rsidR="0070215E" w:rsidRPr="0070215E">
        <w:rPr>
          <w:rFonts w:eastAsia="Calibri" w:cstheme="minorHAnsi"/>
          <w:color w:val="000000"/>
          <w:kern w:val="0"/>
          <w:sz w:val="22"/>
          <w:lang w:eastAsia="en-US"/>
          <w14:ligatures w14:val="none"/>
        </w:rPr>
        <w:t xml:space="preserve">Prior to transport offsite, a Category A infectious substance must be tripled packed in a primary watertight receptacle, a watertight secondary packaging, and a rigid outer packaging.  </w:t>
      </w:r>
      <w:r w:rsidR="0070215E" w:rsidRPr="0070215E">
        <w:rPr>
          <w:rFonts w:eastAsia="Calibri" w:cstheme="minorHAnsi"/>
          <w:color w:val="000000"/>
          <w:kern w:val="0"/>
          <w:sz w:val="22"/>
          <w:lang w:eastAsia="en-US"/>
          <w14:ligatures w14:val="none"/>
        </w:rPr>
        <w:br/>
      </w:r>
    </w:p>
    <w:p w14:paraId="664724C8" w14:textId="77777777" w:rsidR="0070215E" w:rsidRPr="0070215E" w:rsidRDefault="0070215E" w:rsidP="00CC5C7F">
      <w:pPr>
        <w:pStyle w:val="Heading4"/>
        <w:ind w:left="720"/>
        <w:rPr>
          <w:rFonts w:eastAsia="Calibri"/>
          <w:lang w:eastAsia="en-US"/>
        </w:rPr>
      </w:pPr>
      <w:bookmarkStart w:id="7" w:name="_Toc103717321"/>
      <w:r w:rsidRPr="0070215E">
        <w:rPr>
          <w:rFonts w:eastAsia="Calibri"/>
          <w:lang w:eastAsia="en-US"/>
        </w:rPr>
        <w:t>Individual plastic film packaging</w:t>
      </w:r>
      <w:bookmarkEnd w:id="7"/>
      <w:r w:rsidRPr="0070215E">
        <w:rPr>
          <w:rFonts w:eastAsia="Calibri"/>
          <w:lang w:eastAsia="en-US"/>
        </w:rPr>
        <w:t xml:space="preserve"> </w:t>
      </w:r>
    </w:p>
    <w:p w14:paraId="525AF0E9" w14:textId="77777777" w:rsidR="0070215E" w:rsidRPr="0070215E" w:rsidRDefault="0070215E" w:rsidP="0070215E">
      <w:pPr>
        <w:numPr>
          <w:ilvl w:val="0"/>
          <w:numId w:val="11"/>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Must weigh no more than 10kg (22lbs) when full </w:t>
      </w:r>
    </w:p>
    <w:p w14:paraId="05D8F5D6" w14:textId="77777777" w:rsidR="0070215E" w:rsidRPr="0070215E" w:rsidRDefault="0070215E" w:rsidP="0070215E">
      <w:pPr>
        <w:numPr>
          <w:ilvl w:val="0"/>
          <w:numId w:val="11"/>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Must be 175 liters (46 gallons) or smaller</w:t>
      </w:r>
    </w:p>
    <w:p w14:paraId="6F5BC863" w14:textId="77777777" w:rsidR="0070215E" w:rsidRPr="0070215E" w:rsidRDefault="0070215E" w:rsidP="0070215E">
      <w:pPr>
        <w:numPr>
          <w:ilvl w:val="0"/>
          <w:numId w:val="10"/>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Must be marked and certified by its manufacturer as having an impact resistance of 165 grams and a tearing resistance of 480 grams in both parallel and perpendicular planes with respect to the length of the bag when tested in accordance with ASTM D 1709 and ASTM D 1922 </w:t>
      </w:r>
    </w:p>
    <w:p w14:paraId="15A3D073" w14:textId="2F530A63" w:rsidR="0070215E" w:rsidRPr="0070215E" w:rsidRDefault="0070215E" w:rsidP="00BE453D">
      <w:pPr>
        <w:numPr>
          <w:ilvl w:val="0"/>
          <w:numId w:val="10"/>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Must be compatible with the non-aerosol liquid solution EPA-registered hospital disinfectant with a label claim for a non-enveloped virus (e.g., norovirus, rotavirus, adenovirus, poliovirus) that is recommended by the CDC for use as a disinfectant for the Highly infectious disease virus.</w:t>
      </w:r>
      <w:r w:rsidRPr="0070215E">
        <w:rPr>
          <w:rFonts w:eastAsia="Calibri" w:cstheme="minorHAnsi"/>
          <w:color w:val="000000"/>
          <w:kern w:val="0"/>
          <w:sz w:val="22"/>
          <w:lang w:eastAsia="en-US"/>
          <w14:ligatures w14:val="none"/>
        </w:rPr>
        <w:br/>
        <w:t xml:space="preserve"> </w:t>
      </w:r>
    </w:p>
    <w:p w14:paraId="48807A28" w14:textId="77777777" w:rsidR="0070215E" w:rsidRPr="0070215E" w:rsidRDefault="0070215E" w:rsidP="00CC5C7F">
      <w:pPr>
        <w:pStyle w:val="Heading4"/>
        <w:ind w:left="720"/>
        <w:rPr>
          <w:rFonts w:eastAsia="Calibri"/>
          <w:lang w:eastAsia="en-US"/>
        </w:rPr>
      </w:pPr>
      <w:bookmarkStart w:id="8" w:name="_Toc103717322"/>
      <w:r w:rsidRPr="0070215E">
        <w:rPr>
          <w:rFonts w:eastAsia="Calibri"/>
          <w:lang w:eastAsia="en-US"/>
        </w:rPr>
        <w:t>Rigid outer packaging</w:t>
      </w:r>
      <w:bookmarkEnd w:id="8"/>
      <w:r w:rsidRPr="0070215E">
        <w:rPr>
          <w:rFonts w:eastAsia="Calibri"/>
          <w:lang w:eastAsia="en-US"/>
        </w:rPr>
        <w:t xml:space="preserve"> </w:t>
      </w:r>
    </w:p>
    <w:p w14:paraId="03DB3B15" w14:textId="77777777" w:rsidR="0070215E" w:rsidRPr="0070215E" w:rsidRDefault="0070215E" w:rsidP="0070215E">
      <w:pPr>
        <w:numPr>
          <w:ilvl w:val="0"/>
          <w:numId w:val="12"/>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Must be either a United Nations (UN) Standard or DOT approved non-bulk packaging − Drums made of plastic, or triple wall corrugated fiberboard (authorized under approval) − Boxes made of plastic or triple wall fiberboard. </w:t>
      </w:r>
    </w:p>
    <w:p w14:paraId="0C765359" w14:textId="77777777" w:rsidR="0070215E" w:rsidRPr="0070215E" w:rsidRDefault="0070215E" w:rsidP="0070215E">
      <w:pPr>
        <w:numPr>
          <w:ilvl w:val="0"/>
          <w:numId w:val="12"/>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Must be certified and tested to the PG II Level for medium danger </w:t>
      </w:r>
    </w:p>
    <w:p w14:paraId="32683215" w14:textId="74D9D035" w:rsidR="0070215E" w:rsidRPr="0070215E" w:rsidRDefault="0070215E" w:rsidP="0070215E">
      <w:pPr>
        <w:numPr>
          <w:ilvl w:val="0"/>
          <w:numId w:val="12"/>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Must have a minimum of a </w:t>
      </w:r>
      <w:r w:rsidR="00CC5C7F" w:rsidRPr="0070215E">
        <w:rPr>
          <w:rFonts w:eastAsia="Calibri" w:cstheme="minorHAnsi"/>
          <w:color w:val="000000"/>
          <w:kern w:val="0"/>
          <w:sz w:val="22"/>
          <w:lang w:eastAsia="en-US"/>
          <w14:ligatures w14:val="none"/>
        </w:rPr>
        <w:t>6-millimeter</w:t>
      </w:r>
      <w:r w:rsidRPr="0070215E">
        <w:rPr>
          <w:rFonts w:eastAsia="Calibri" w:cstheme="minorHAnsi"/>
          <w:color w:val="000000"/>
          <w:kern w:val="0"/>
          <w:sz w:val="22"/>
          <w:lang w:eastAsia="en-US"/>
          <w14:ligatures w14:val="none"/>
        </w:rPr>
        <w:t xml:space="preserve"> polyethylene plastic liner if the outer packaging is fiberboard </w:t>
      </w:r>
    </w:p>
    <w:p w14:paraId="625624AC" w14:textId="77777777" w:rsidR="0070215E" w:rsidRPr="0070215E" w:rsidRDefault="0070215E" w:rsidP="0070215E">
      <w:pPr>
        <w:numPr>
          <w:ilvl w:val="0"/>
          <w:numId w:val="12"/>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lastRenderedPageBreak/>
        <w:t xml:space="preserve">Must be marked and labeled in accordance </w:t>
      </w:r>
      <w:proofErr w:type="gramStart"/>
      <w:r w:rsidRPr="0070215E">
        <w:rPr>
          <w:rFonts w:eastAsia="Calibri" w:cstheme="minorHAnsi"/>
          <w:color w:val="000000"/>
          <w:kern w:val="0"/>
          <w:sz w:val="22"/>
          <w:lang w:eastAsia="en-US"/>
          <w14:ligatures w14:val="none"/>
        </w:rPr>
        <w:t>to</w:t>
      </w:r>
      <w:proofErr w:type="gramEnd"/>
      <w:r w:rsidRPr="0070215E">
        <w:rPr>
          <w:rFonts w:eastAsia="Calibri" w:cstheme="minorHAnsi"/>
          <w:color w:val="000000"/>
          <w:kern w:val="0"/>
          <w:sz w:val="22"/>
          <w:lang w:eastAsia="en-US"/>
          <w14:ligatures w14:val="none"/>
        </w:rPr>
        <w:t xml:space="preserve"> U.S. DOT Hazardous Materials Regulation.   </w:t>
      </w:r>
    </w:p>
    <w:p w14:paraId="1DC9BA8B"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 </w:t>
      </w:r>
    </w:p>
    <w:p w14:paraId="5F063B17" w14:textId="77777777" w:rsidR="0070215E" w:rsidRPr="0070215E" w:rsidRDefault="0070215E" w:rsidP="00CC5C7F">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After outer packaging has been closed as specified by the manufacture of the packaging, disinfect the exterior surface of the outer packaging with a non-aerosol liquid solution EPA-registered hospital disinfectant with a label claim for a non-enveloped virus (e.g., norovirus, rotavirus, adenovirus, poliovirus) that is recommended by the CDC for use as a disinfectant for the Highly infectious disease virus. </w:t>
      </w:r>
    </w:p>
    <w:p w14:paraId="0D15BDF8"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 </w:t>
      </w:r>
    </w:p>
    <w:p w14:paraId="16259A0E"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NOTE: It is important that healthcare facilities coordinate with their current waste management vendor to discuss their protocol on disposal of waste contaminated with infectious viral hemorrhagic fever. Be sure to include questions such as: </w:t>
      </w:r>
    </w:p>
    <w:p w14:paraId="3B93BF16"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 </w:t>
      </w:r>
    </w:p>
    <w:p w14:paraId="2E168B15" w14:textId="5FD38B85" w:rsidR="0070215E" w:rsidRPr="00CC5C7F" w:rsidRDefault="0070215E" w:rsidP="00CC5C7F">
      <w:pPr>
        <w:pStyle w:val="ListParagraph"/>
        <w:numPr>
          <w:ilvl w:val="0"/>
          <w:numId w:val="19"/>
        </w:numPr>
        <w:rPr>
          <w:rFonts w:eastAsia="Calibri" w:cstheme="minorHAnsi"/>
          <w:color w:val="000000"/>
        </w:rPr>
      </w:pPr>
      <w:r w:rsidRPr="00CC5C7F">
        <w:rPr>
          <w:rFonts w:eastAsia="Calibri" w:cstheme="minorHAnsi"/>
          <w:color w:val="000000"/>
        </w:rPr>
        <w:t xml:space="preserve">Whether the vendor has an arrangement with a waste disposal or processing facility that holds the required permits to receive waste contaminated with highly infectious disease or other infectious viral hemorrhagic fever. Waste disposal and processing facilities must have the state's approval to receive and treat highly infectious disease-associated waste. </w:t>
      </w:r>
    </w:p>
    <w:p w14:paraId="31E2612C" w14:textId="008763F3" w:rsidR="0070215E" w:rsidRPr="00CC5C7F" w:rsidRDefault="0070215E" w:rsidP="00CC5C7F">
      <w:pPr>
        <w:pStyle w:val="ListParagraph"/>
        <w:numPr>
          <w:ilvl w:val="0"/>
          <w:numId w:val="19"/>
        </w:numPr>
        <w:rPr>
          <w:rFonts w:eastAsia="Calibri" w:cstheme="minorHAnsi"/>
          <w:color w:val="000000"/>
        </w:rPr>
      </w:pPr>
      <w:r w:rsidRPr="00CC5C7F">
        <w:rPr>
          <w:rFonts w:eastAsia="Calibri" w:cstheme="minorHAnsi"/>
          <w:color w:val="000000"/>
        </w:rPr>
        <w:t xml:space="preserve">Whether the vendor can properly package a U.S. DOT regulated Category A infectious substance according to Hazardous Waste Regulations for transportation offsite. </w:t>
      </w:r>
    </w:p>
    <w:p w14:paraId="54B6A5D5" w14:textId="23DC4094" w:rsidR="0070215E" w:rsidRPr="00CC5C7F" w:rsidRDefault="0070215E" w:rsidP="00CC5C7F">
      <w:pPr>
        <w:pStyle w:val="ListParagraph"/>
        <w:numPr>
          <w:ilvl w:val="0"/>
          <w:numId w:val="19"/>
        </w:numPr>
        <w:rPr>
          <w:rFonts w:eastAsia="Calibri" w:cstheme="minorHAnsi"/>
          <w:color w:val="000000"/>
        </w:rPr>
      </w:pPr>
      <w:r w:rsidRPr="00CC5C7F">
        <w:rPr>
          <w:rFonts w:eastAsia="Calibri" w:cstheme="minorHAnsi"/>
          <w:color w:val="000000"/>
        </w:rPr>
        <w:t xml:space="preserve">Whether the vendor knows the proper protocol for requesting the Special Permit from U.S. DOT if they may need to transport a Category A infectious substance from the healthcare facility. </w:t>
      </w:r>
    </w:p>
    <w:p w14:paraId="7E04B5D7"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 </w:t>
      </w:r>
    </w:p>
    <w:p w14:paraId="15C0F4AA"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IMPORTANT: There are four requirements to be approved for the Special Permit as regulated by U.S. DOT:</w:t>
      </w:r>
    </w:p>
    <w:p w14:paraId="2676E577" w14:textId="77777777" w:rsidR="0070215E" w:rsidRPr="0070215E" w:rsidRDefault="0070215E" w:rsidP="0070215E">
      <w:pPr>
        <w:numPr>
          <w:ilvl w:val="0"/>
          <w:numId w:val="14"/>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Waste must be triple packaged as instructed in the previous section </w:t>
      </w:r>
    </w:p>
    <w:p w14:paraId="3A4DD98D" w14:textId="77777777" w:rsidR="0070215E" w:rsidRPr="0070215E" w:rsidRDefault="0070215E" w:rsidP="0070215E">
      <w:pPr>
        <w:numPr>
          <w:ilvl w:val="0"/>
          <w:numId w:val="14"/>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Transport containers must be labeled as: UN number 2814 infectious substances affecting humans</w:t>
      </w:r>
    </w:p>
    <w:p w14:paraId="579FCF76" w14:textId="38D7442D" w:rsidR="0070215E" w:rsidRPr="0070215E" w:rsidRDefault="0070215E" w:rsidP="0070215E">
      <w:pPr>
        <w:numPr>
          <w:ilvl w:val="0"/>
          <w:numId w:val="14"/>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Transport must have a security plan and enroute security detail </w:t>
      </w:r>
    </w:p>
    <w:p w14:paraId="28E6C885" w14:textId="77777777" w:rsidR="0070215E" w:rsidRPr="0070215E" w:rsidRDefault="0070215E" w:rsidP="0070215E">
      <w:pPr>
        <w:numPr>
          <w:ilvl w:val="0"/>
          <w:numId w:val="14"/>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Facilities must develop an emergency response plan in the event of a spill or other emergency  </w:t>
      </w:r>
    </w:p>
    <w:p w14:paraId="38A76A50"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 </w:t>
      </w:r>
    </w:p>
    <w:p w14:paraId="09A64A4B"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U.S. DOT has confirmed that they will not issue the Special Permit in advance. This permit can only be issued once the regulated medical waste is suspected or confirmed to be a Category A infectious substance. </w:t>
      </w:r>
    </w:p>
    <w:p w14:paraId="4B7CE0CF" w14:textId="77777777" w:rsidR="0070215E" w:rsidRPr="0070215E" w:rsidRDefault="0070215E" w:rsidP="00CC5C7F">
      <w:pPr>
        <w:pStyle w:val="Heading3"/>
      </w:pPr>
      <w:r w:rsidRPr="0070215E">
        <w:t xml:space="preserve"> </w:t>
      </w:r>
    </w:p>
    <w:p w14:paraId="10C93C92" w14:textId="77777777" w:rsidR="0070215E" w:rsidRPr="0070215E" w:rsidRDefault="0070215E" w:rsidP="00CC5C7F">
      <w:pPr>
        <w:pStyle w:val="Heading3"/>
      </w:pPr>
      <w:bookmarkStart w:id="9" w:name="_Toc103717323"/>
      <w:r w:rsidRPr="0070215E">
        <w:t>Recommendations for Liquid Waste Disposal</w:t>
      </w:r>
      <w:bookmarkEnd w:id="9"/>
      <w:r w:rsidRPr="0070215E">
        <w:t xml:space="preserve"> </w:t>
      </w:r>
    </w:p>
    <w:p w14:paraId="13255893" w14:textId="77777777" w:rsidR="0070215E" w:rsidRPr="0070215E" w:rsidRDefault="0070215E" w:rsidP="0070215E">
      <w:pPr>
        <w:spacing w:after="0"/>
        <w:ind w:left="0" w:right="0"/>
        <w:rPr>
          <w:rFonts w:eastAsia="Calibri" w:cstheme="minorHAnsi"/>
          <w:b/>
          <w:color w:val="000000"/>
          <w:kern w:val="0"/>
          <w:sz w:val="22"/>
          <w:lang w:eastAsia="en-US"/>
          <w14:ligatures w14:val="none"/>
        </w:rPr>
      </w:pPr>
    </w:p>
    <w:p w14:paraId="1AC3C756" w14:textId="77777777" w:rsidR="0070215E" w:rsidRPr="0070215E" w:rsidRDefault="0070215E" w:rsidP="00CC5C7F">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Wastewater treatment facilities are appropriately able to administer sewage handling processes that are designed to inactivate infectious agents. However, certain disinfection measures should be taken in the case of human exposure prior to delivery to the wastewater treatment facility. </w:t>
      </w:r>
    </w:p>
    <w:p w14:paraId="63C2F01A" w14:textId="77777777" w:rsidR="0070215E" w:rsidRPr="0070215E" w:rsidRDefault="0070215E" w:rsidP="0070215E">
      <w:pPr>
        <w:spacing w:after="0"/>
        <w:ind w:left="72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 Any liquid generated by the patient or during treatment (i.e., blood transfusion, dialysis, used saline, irrigation procedures) should be delivered to a sanitary sewage receptacle and treated with 1 cup of bleach for 5-10 minutes prior to flushing. </w:t>
      </w:r>
    </w:p>
    <w:p w14:paraId="488208AF"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 </w:t>
      </w:r>
    </w:p>
    <w:p w14:paraId="3F94095A"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CAUTION: EPA warns that this method may expose an individual without respiratory protection to chlorine gas. Please make sure to isolate sanitary sewer with standing bleach to prevent exposure to any generated chlorine gas during this disinfection process. Additional care is needed when adding any liquid treatment to sewage to ensure no splashing occurs </w:t>
      </w:r>
    </w:p>
    <w:p w14:paraId="2D378B20"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lastRenderedPageBreak/>
        <w:t xml:space="preserve"> </w:t>
      </w:r>
    </w:p>
    <w:p w14:paraId="46E124C3" w14:textId="77777777" w:rsidR="0070215E" w:rsidRPr="0070215E" w:rsidRDefault="0070215E" w:rsidP="0070215E">
      <w:pPr>
        <w:spacing w:after="0"/>
        <w:ind w:left="72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 While CDC guidelines state that liquid waste infected with Highly infectious disease virus can be flushed without disinfection treatment, disinfection measures are a precautionary measure against splashing, spills, or service required by public works staff, as well as for local wastewater operators </w:t>
      </w:r>
    </w:p>
    <w:p w14:paraId="464C3A63"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 </w:t>
      </w:r>
    </w:p>
    <w:p w14:paraId="7568B0DE"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NOTE: Please be sure to contact your local wastewater treatment facility to notify them in advance of the intent to bleach incoming sanitary sewage infected with highly infectious disease virus. </w:t>
      </w:r>
    </w:p>
    <w:p w14:paraId="4C562ABC"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 </w:t>
      </w:r>
    </w:p>
    <w:p w14:paraId="20B25254" w14:textId="77777777" w:rsidR="0070215E" w:rsidRPr="0070215E" w:rsidRDefault="0070215E" w:rsidP="00CC5C7F">
      <w:pPr>
        <w:pStyle w:val="Heading3"/>
      </w:pPr>
      <w:bookmarkStart w:id="10" w:name="_Toc103717324"/>
      <w:r w:rsidRPr="0070215E">
        <w:t>Additional Information</w:t>
      </w:r>
      <w:bookmarkEnd w:id="10"/>
      <w:r w:rsidRPr="0070215E">
        <w:t xml:space="preserve"> </w:t>
      </w:r>
    </w:p>
    <w:p w14:paraId="740D26CC" w14:textId="77777777" w:rsidR="0070215E" w:rsidRPr="0070215E" w:rsidRDefault="0070215E" w:rsidP="0070215E">
      <w:pPr>
        <w:spacing w:after="0"/>
        <w:ind w:left="0" w:right="0"/>
        <w:rPr>
          <w:rFonts w:eastAsia="Calibri" w:cstheme="minorHAnsi"/>
          <w:b/>
          <w:color w:val="000000"/>
          <w:kern w:val="0"/>
          <w:sz w:val="22"/>
          <w:lang w:eastAsia="en-US"/>
          <w14:ligatures w14:val="none"/>
        </w:rPr>
      </w:pPr>
    </w:p>
    <w:p w14:paraId="3796487C"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For additional information, see the following links:  </w:t>
      </w:r>
    </w:p>
    <w:p w14:paraId="1B6797F0" w14:textId="77777777" w:rsidR="0070215E" w:rsidRPr="0070215E" w:rsidRDefault="0070215E" w:rsidP="0070215E">
      <w:pPr>
        <w:spacing w:after="0"/>
        <w:ind w:left="0" w:right="0"/>
        <w:rPr>
          <w:rFonts w:eastAsia="Calibri" w:cstheme="minorHAnsi"/>
          <w:color w:val="000000"/>
          <w:kern w:val="0"/>
          <w:sz w:val="22"/>
          <w:lang w:eastAsia="en-US"/>
          <w14:ligatures w14:val="none"/>
        </w:rPr>
      </w:pPr>
    </w:p>
    <w:p w14:paraId="703C9253"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CDC </w:t>
      </w:r>
      <w:r w:rsidRPr="0070215E">
        <w:rPr>
          <w:rFonts w:eastAsia="Calibri" w:cstheme="minorHAnsi"/>
          <w:kern w:val="0"/>
          <w:sz w:val="22"/>
          <w:lang w:eastAsia="en-US"/>
          <w14:ligatures w14:val="none"/>
        </w:rPr>
        <w:t>Guideline for Disinfection and Sterilization in Healthcare Facilities:</w:t>
      </w:r>
    </w:p>
    <w:p w14:paraId="5EC66692" w14:textId="77777777" w:rsidR="0070215E" w:rsidRPr="0070215E" w:rsidRDefault="0070215E" w:rsidP="0070215E">
      <w:pPr>
        <w:spacing w:after="0"/>
        <w:ind w:left="0" w:right="0"/>
        <w:rPr>
          <w:rFonts w:eastAsia="Calibri" w:cstheme="minorHAnsi"/>
          <w:color w:val="000000"/>
          <w:kern w:val="0"/>
          <w:sz w:val="22"/>
          <w:lang w:eastAsia="en-US"/>
          <w14:ligatures w14:val="none"/>
        </w:rPr>
      </w:pPr>
      <w:hyperlink r:id="rId14" w:history="1">
        <w:r w:rsidRPr="0070215E">
          <w:rPr>
            <w:rFonts w:eastAsia="Calibri" w:cstheme="minorHAnsi"/>
            <w:color w:val="0000FF"/>
            <w:kern w:val="0"/>
            <w:sz w:val="22"/>
            <w:u w:val="single"/>
            <w:lang w:eastAsia="en-US"/>
            <w14:ligatures w14:val="none"/>
          </w:rPr>
          <w:t>https://www.cdc.gov/vhf/ebola/healthcare-us/cleaning/waste-management.html</w:t>
        </w:r>
      </w:hyperlink>
    </w:p>
    <w:p w14:paraId="7C59E8F2"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 </w:t>
      </w:r>
    </w:p>
    <w:p w14:paraId="204A7A10"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U.S. Department of Transportation Pipeline and Hazardous Materials Safety Administration Transporting Infectious Substances </w:t>
      </w:r>
    </w:p>
    <w:p w14:paraId="64396BE3" w14:textId="77777777" w:rsidR="0070215E" w:rsidRPr="0070215E" w:rsidRDefault="0070215E" w:rsidP="0070215E">
      <w:pPr>
        <w:spacing w:after="0"/>
        <w:ind w:left="0" w:right="0"/>
        <w:rPr>
          <w:rFonts w:eastAsia="Calibri" w:cstheme="minorHAnsi"/>
          <w:color w:val="000000"/>
          <w:kern w:val="0"/>
          <w:sz w:val="22"/>
          <w:lang w:eastAsia="en-US"/>
          <w14:ligatures w14:val="none"/>
        </w:rPr>
      </w:pPr>
      <w:hyperlink r:id="rId15" w:history="1">
        <w:r w:rsidRPr="0070215E">
          <w:rPr>
            <w:rFonts w:eastAsia="Calibri" w:cstheme="minorHAnsi"/>
            <w:color w:val="0000FF"/>
            <w:kern w:val="0"/>
            <w:sz w:val="22"/>
            <w:u w:val="single"/>
            <w:lang w:eastAsia="en-US"/>
            <w14:ligatures w14:val="none"/>
          </w:rPr>
          <w:t>https://cms.phmsa.dot.gov/transporting-infectious-substances/transporting-infectious-substances-overview</w:t>
        </w:r>
      </w:hyperlink>
    </w:p>
    <w:p w14:paraId="09ECC686" w14:textId="77777777" w:rsidR="0070215E" w:rsidRPr="0070215E" w:rsidRDefault="0070215E" w:rsidP="0070215E">
      <w:pPr>
        <w:spacing w:after="0"/>
        <w:ind w:left="0" w:right="0"/>
        <w:rPr>
          <w:rFonts w:eastAsia="Calibri" w:cstheme="minorHAnsi"/>
          <w:color w:val="000000"/>
          <w:kern w:val="0"/>
          <w:sz w:val="22"/>
          <w:lang w:eastAsia="en-US"/>
          <w14:ligatures w14:val="none"/>
        </w:rPr>
      </w:pPr>
    </w:p>
    <w:p w14:paraId="5B88BB19"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 </w:t>
      </w:r>
    </w:p>
    <w:p w14:paraId="277EA5AB"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CDC Interim Guidance for Environmental Infection Control in Hospitals for Highly infectious disease Virus</w:t>
      </w:r>
    </w:p>
    <w:p w14:paraId="40A66710" w14:textId="77777777" w:rsidR="0070215E" w:rsidRPr="0070215E" w:rsidRDefault="0070215E" w:rsidP="0070215E">
      <w:pPr>
        <w:spacing w:after="0"/>
        <w:ind w:left="0" w:right="0"/>
        <w:rPr>
          <w:rFonts w:eastAsia="Calibri" w:cstheme="minorHAnsi"/>
          <w:color w:val="000000"/>
          <w:kern w:val="0"/>
          <w:sz w:val="22"/>
          <w:lang w:eastAsia="en-US"/>
          <w14:ligatures w14:val="none"/>
        </w:rPr>
      </w:pPr>
      <w:hyperlink r:id="rId16" w:history="1">
        <w:r w:rsidRPr="0070215E">
          <w:rPr>
            <w:rFonts w:eastAsia="Calibri" w:cstheme="minorHAnsi"/>
            <w:color w:val="0000FF"/>
            <w:kern w:val="0"/>
            <w:sz w:val="22"/>
            <w:u w:val="single"/>
            <w:lang w:eastAsia="en-US"/>
            <w14:ligatures w14:val="none"/>
          </w:rPr>
          <w:t>https://www.cdc.gov/vhf/ebola/healthcare-us/cleaning/hospitals.html</w:t>
        </w:r>
      </w:hyperlink>
    </w:p>
    <w:p w14:paraId="4ACCB7C3" w14:textId="6AB2D49D" w:rsid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 </w:t>
      </w:r>
    </w:p>
    <w:p w14:paraId="69937ECC" w14:textId="5A744A4C" w:rsidR="00CC5C7F" w:rsidRDefault="00CC5C7F" w:rsidP="0070215E">
      <w:pPr>
        <w:spacing w:after="0"/>
        <w:ind w:left="0" w:right="0"/>
        <w:rPr>
          <w:rFonts w:eastAsia="Calibri" w:cstheme="minorHAnsi"/>
          <w:color w:val="000000"/>
          <w:kern w:val="0"/>
          <w:sz w:val="22"/>
          <w:lang w:eastAsia="en-US"/>
          <w14:ligatures w14:val="none"/>
        </w:rPr>
      </w:pPr>
    </w:p>
    <w:p w14:paraId="3A533EEB" w14:textId="26A19A22" w:rsidR="00CC5C7F" w:rsidRDefault="00CC5C7F" w:rsidP="0070215E">
      <w:pPr>
        <w:spacing w:after="0"/>
        <w:ind w:left="0" w:right="0"/>
        <w:rPr>
          <w:rFonts w:eastAsia="Calibri" w:cstheme="minorHAnsi"/>
          <w:color w:val="000000"/>
          <w:kern w:val="0"/>
          <w:sz w:val="22"/>
          <w:lang w:eastAsia="en-US"/>
          <w14:ligatures w14:val="none"/>
        </w:rPr>
      </w:pPr>
    </w:p>
    <w:p w14:paraId="20A2DF3F" w14:textId="235B4603" w:rsidR="00CC5C7F" w:rsidRDefault="00CC5C7F" w:rsidP="0070215E">
      <w:pPr>
        <w:spacing w:after="0"/>
        <w:ind w:left="0" w:right="0"/>
        <w:rPr>
          <w:rFonts w:eastAsia="Calibri" w:cstheme="minorHAnsi"/>
          <w:color w:val="000000"/>
          <w:kern w:val="0"/>
          <w:sz w:val="22"/>
          <w:lang w:eastAsia="en-US"/>
          <w14:ligatures w14:val="none"/>
        </w:rPr>
      </w:pPr>
    </w:p>
    <w:p w14:paraId="7F99978F" w14:textId="77777777" w:rsidR="00CC5C7F" w:rsidRPr="0070215E" w:rsidRDefault="00CC5C7F" w:rsidP="0070215E">
      <w:pPr>
        <w:spacing w:after="0"/>
        <w:ind w:left="0" w:right="0"/>
        <w:rPr>
          <w:rFonts w:eastAsia="Calibri" w:cstheme="minorHAnsi"/>
          <w:color w:val="000000"/>
          <w:kern w:val="0"/>
          <w:sz w:val="22"/>
          <w:lang w:eastAsia="en-US"/>
          <w14:ligatures w14:val="none"/>
        </w:rPr>
      </w:pPr>
    </w:p>
    <w:p w14:paraId="2AB2A3B6" w14:textId="77777777" w:rsidR="0070215E" w:rsidRPr="0070215E" w:rsidRDefault="0070215E" w:rsidP="00CC5C7F">
      <w:pPr>
        <w:pStyle w:val="Heading3"/>
      </w:pPr>
      <w:bookmarkStart w:id="11" w:name="_Toc103717325"/>
      <w:r w:rsidRPr="0070215E">
        <w:t>EMS Agency Guidance</w:t>
      </w:r>
      <w:bookmarkEnd w:id="11"/>
    </w:p>
    <w:p w14:paraId="6E4EDC58" w14:textId="77777777" w:rsidR="0070215E" w:rsidRPr="0070215E" w:rsidRDefault="0070215E" w:rsidP="00CC5C7F">
      <w:pPr>
        <w:pStyle w:val="Heading4"/>
        <w:ind w:left="0"/>
        <w:rPr>
          <w:rFonts w:eastAsia="Calibri"/>
          <w:lang w:eastAsia="en-US"/>
        </w:rPr>
      </w:pPr>
      <w:bookmarkStart w:id="12" w:name="_Toc103717326"/>
      <w:r w:rsidRPr="0070215E">
        <w:rPr>
          <w:rFonts w:eastAsia="Calibri"/>
          <w:lang w:eastAsia="en-US"/>
        </w:rPr>
        <w:t>Patient Assessment</w:t>
      </w:r>
      <w:bookmarkEnd w:id="12"/>
    </w:p>
    <w:p w14:paraId="62680B9C" w14:textId="77777777" w:rsidR="0070215E" w:rsidRPr="0070215E" w:rsidRDefault="0070215E" w:rsidP="0070215E">
      <w:pPr>
        <w:spacing w:after="0"/>
        <w:ind w:left="0" w:right="0"/>
        <w:rPr>
          <w:rFonts w:eastAsia="Calibri" w:cstheme="minorHAnsi"/>
          <w:color w:val="000000"/>
          <w:kern w:val="0"/>
          <w:sz w:val="22"/>
          <w:lang w:eastAsia="en-US"/>
          <w14:ligatures w14:val="none"/>
        </w:rPr>
      </w:pPr>
    </w:p>
    <w:p w14:paraId="4C925263" w14:textId="77777777" w:rsidR="0070215E" w:rsidRPr="0070215E" w:rsidRDefault="0070215E" w:rsidP="00CC5C7F">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This assessment should take place before transport of the patient. To minimize potential exposure, only one EMS should approach the patient and perform the initial screening from at least 3 feet away. If this initial assessment provides the EMS provider with suspicions that the patient could have an infectious disease, such as Highly infectious disease, then Personal Protective Equipment should be put on before coming into close contact with the patient. </w:t>
      </w:r>
    </w:p>
    <w:p w14:paraId="246F7D54" w14:textId="77777777" w:rsidR="0070215E" w:rsidRPr="0070215E" w:rsidRDefault="0070215E" w:rsidP="0070215E">
      <w:pPr>
        <w:spacing w:after="0"/>
        <w:ind w:left="0" w:right="0"/>
        <w:jc w:val="center"/>
        <w:rPr>
          <w:rFonts w:eastAsia="Calibri" w:cstheme="minorHAnsi"/>
          <w:color w:val="000000"/>
          <w:kern w:val="0"/>
          <w:sz w:val="22"/>
          <w:lang w:eastAsia="en-US"/>
          <w14:ligatures w14:val="none"/>
        </w:rPr>
      </w:pPr>
    </w:p>
    <w:p w14:paraId="6427BF6D" w14:textId="77777777" w:rsidR="0070215E" w:rsidRPr="0070215E" w:rsidRDefault="0070215E" w:rsidP="00CC5C7F">
      <w:pPr>
        <w:pStyle w:val="Heading4"/>
        <w:ind w:left="0"/>
        <w:rPr>
          <w:rFonts w:eastAsia="Calibri"/>
          <w:lang w:eastAsia="en-US"/>
        </w:rPr>
      </w:pPr>
      <w:bookmarkStart w:id="13" w:name="_Toc103717327"/>
      <w:r w:rsidRPr="0070215E">
        <w:rPr>
          <w:rFonts w:eastAsia="Calibri"/>
          <w:lang w:eastAsia="en-US"/>
        </w:rPr>
        <w:t>Protection of EMS Personnel</w:t>
      </w:r>
      <w:bookmarkEnd w:id="13"/>
    </w:p>
    <w:p w14:paraId="63E7B67A" w14:textId="77777777" w:rsidR="0070215E" w:rsidRPr="0070215E" w:rsidRDefault="0070215E" w:rsidP="0070215E">
      <w:pPr>
        <w:spacing w:after="0"/>
        <w:ind w:left="0" w:right="0"/>
        <w:rPr>
          <w:rFonts w:eastAsia="Calibri" w:cstheme="minorHAnsi"/>
          <w:b/>
          <w:kern w:val="0"/>
          <w:sz w:val="22"/>
          <w:lang w:eastAsia="en-US"/>
          <w14:ligatures w14:val="none"/>
        </w:rPr>
      </w:pPr>
    </w:p>
    <w:p w14:paraId="4B504627" w14:textId="77777777" w:rsidR="0070215E" w:rsidRPr="0070215E" w:rsidRDefault="0070215E" w:rsidP="00CC5C7F">
      <w:pPr>
        <w:spacing w:after="0"/>
        <w:ind w:left="0" w:right="0"/>
        <w:rPr>
          <w:rFonts w:eastAsia="Calibri" w:cstheme="minorHAnsi"/>
          <w:kern w:val="0"/>
          <w:sz w:val="22"/>
          <w:lang w:eastAsia="en-US"/>
          <w14:ligatures w14:val="none"/>
        </w:rPr>
      </w:pPr>
      <w:r w:rsidRPr="0070215E">
        <w:rPr>
          <w:rFonts w:eastAsia="Calibri" w:cstheme="minorHAnsi"/>
          <w:color w:val="000000"/>
          <w:kern w:val="0"/>
          <w:sz w:val="22"/>
          <w:lang w:eastAsia="en-US"/>
          <w14:ligatures w14:val="none"/>
        </w:rPr>
        <w:t xml:space="preserve">Protection begins during handling, treatment, transport, or disposal of suspected or known Category A contaminated waste. This begins before the waste is generated, and the best first strategy for protecting EMS personnel is to control the hazard at its source by minimizing the amount of waste generated and ensure that plans are in place to deal with waste before further generating it. Implement protective measures once waste is generated under OSHA standards for bloodborne pathogens by using personal </w:t>
      </w:r>
      <w:r w:rsidRPr="0070215E">
        <w:rPr>
          <w:rFonts w:eastAsia="Calibri" w:cstheme="minorHAnsi"/>
          <w:color w:val="000000"/>
          <w:kern w:val="0"/>
          <w:sz w:val="22"/>
          <w:lang w:eastAsia="en-US"/>
          <w14:ligatures w14:val="none"/>
        </w:rPr>
        <w:lastRenderedPageBreak/>
        <w:t>protective equipment (PPE) and respiratory protection (i.e., respirators). (</w:t>
      </w:r>
      <w:proofErr w:type="gramStart"/>
      <w:r w:rsidRPr="0070215E">
        <w:rPr>
          <w:rFonts w:eastAsia="Calibri" w:cstheme="minorHAnsi"/>
          <w:color w:val="000000"/>
          <w:kern w:val="0"/>
          <w:sz w:val="22"/>
          <w:lang w:eastAsia="en-US"/>
          <w14:ligatures w14:val="none"/>
        </w:rPr>
        <w:t>emailed</w:t>
      </w:r>
      <w:proofErr w:type="gramEnd"/>
      <w:r w:rsidRPr="0070215E">
        <w:rPr>
          <w:rFonts w:eastAsia="Calibri" w:cstheme="minorHAnsi"/>
          <w:color w:val="000000"/>
          <w:kern w:val="0"/>
          <w:sz w:val="22"/>
          <w:lang w:eastAsia="en-US"/>
          <w14:ligatures w14:val="none"/>
        </w:rPr>
        <w:t xml:space="preserve"> document; </w:t>
      </w:r>
      <w:r w:rsidRPr="0070215E">
        <w:rPr>
          <w:rFonts w:eastAsia="Calibri" w:cstheme="minorHAnsi"/>
          <w:kern w:val="0"/>
          <w:sz w:val="22"/>
          <w:lang w:eastAsia="en-US"/>
          <w14:ligatures w14:val="none"/>
        </w:rPr>
        <w:t xml:space="preserve">OSHA Bloodborne Pathogens Standard. 29 CFR § 1910.1030 (2012), Occupational Safety and Health Administration, U.S. Department of Labor.) </w:t>
      </w:r>
    </w:p>
    <w:p w14:paraId="61A02C38" w14:textId="77777777" w:rsidR="0070215E" w:rsidRPr="0070215E" w:rsidRDefault="0070215E" w:rsidP="0070215E">
      <w:pPr>
        <w:spacing w:after="0"/>
        <w:ind w:left="0" w:right="0" w:firstLine="720"/>
        <w:rPr>
          <w:rFonts w:eastAsia="Calibri" w:cstheme="minorHAnsi"/>
          <w:kern w:val="0"/>
          <w:sz w:val="22"/>
          <w:lang w:eastAsia="en-US"/>
          <w14:ligatures w14:val="none"/>
        </w:rPr>
      </w:pPr>
      <w:r w:rsidRPr="0070215E">
        <w:rPr>
          <w:rFonts w:eastAsia="Calibri" w:cstheme="minorHAnsi"/>
          <w:kern w:val="0"/>
          <w:sz w:val="22"/>
          <w:lang w:eastAsia="en-US"/>
          <w14:ligatures w14:val="none"/>
        </w:rPr>
        <w:t>Throughout the entire waste handling process, EMS personnel should:</w:t>
      </w:r>
    </w:p>
    <w:p w14:paraId="58CD4951" w14:textId="77777777" w:rsidR="0070215E" w:rsidRPr="0070215E" w:rsidRDefault="0070215E" w:rsidP="0070215E">
      <w:pPr>
        <w:numPr>
          <w:ilvl w:val="0"/>
          <w:numId w:val="15"/>
        </w:numPr>
        <w:spacing w:after="0" w:line="276" w:lineRule="auto"/>
        <w:ind w:right="0"/>
        <w:rPr>
          <w:rFonts w:eastAsia="Calibri" w:cstheme="minorHAnsi"/>
          <w:kern w:val="0"/>
          <w:sz w:val="22"/>
          <w:lang w:eastAsia="en-US"/>
          <w14:ligatures w14:val="none"/>
        </w:rPr>
      </w:pPr>
      <w:r w:rsidRPr="0070215E">
        <w:rPr>
          <w:rFonts w:eastAsia="Calibri" w:cstheme="minorHAnsi"/>
          <w:kern w:val="0"/>
          <w:sz w:val="22"/>
          <w:lang w:eastAsia="en-US"/>
          <w14:ligatures w14:val="none"/>
        </w:rPr>
        <w:t>Limit the number of personnel that handle the waste</w:t>
      </w:r>
    </w:p>
    <w:p w14:paraId="5682949F" w14:textId="77777777" w:rsidR="0070215E" w:rsidRPr="0070215E" w:rsidRDefault="0070215E" w:rsidP="0070215E">
      <w:pPr>
        <w:numPr>
          <w:ilvl w:val="0"/>
          <w:numId w:val="15"/>
        </w:numPr>
        <w:spacing w:after="0" w:line="276" w:lineRule="auto"/>
        <w:ind w:right="0"/>
        <w:rPr>
          <w:rFonts w:eastAsia="Calibri" w:cstheme="minorHAnsi"/>
          <w:kern w:val="0"/>
          <w:sz w:val="22"/>
          <w:lang w:eastAsia="en-US"/>
          <w14:ligatures w14:val="none"/>
        </w:rPr>
      </w:pPr>
      <w:r w:rsidRPr="0070215E">
        <w:rPr>
          <w:rFonts w:eastAsia="Calibri" w:cstheme="minorHAnsi"/>
          <w:kern w:val="0"/>
          <w:sz w:val="22"/>
          <w:lang w:eastAsia="en-US"/>
          <w14:ligatures w14:val="none"/>
        </w:rPr>
        <w:t>When changing or removing gloves, hands should be washed with soap and water for at least 20 seconds; use alcohol-based scrubs if soap and water are not available</w:t>
      </w:r>
    </w:p>
    <w:p w14:paraId="6A8C7CB0" w14:textId="77777777" w:rsidR="0070215E" w:rsidRPr="0070215E" w:rsidRDefault="0070215E" w:rsidP="0070215E">
      <w:pPr>
        <w:numPr>
          <w:ilvl w:val="0"/>
          <w:numId w:val="15"/>
        </w:numPr>
        <w:spacing w:after="0" w:line="276" w:lineRule="auto"/>
        <w:ind w:right="0"/>
        <w:rPr>
          <w:rFonts w:eastAsia="Calibri" w:cstheme="minorHAnsi"/>
          <w:kern w:val="0"/>
          <w:sz w:val="22"/>
          <w:lang w:eastAsia="en-US"/>
          <w14:ligatures w14:val="none"/>
        </w:rPr>
      </w:pPr>
      <w:r w:rsidRPr="0070215E">
        <w:rPr>
          <w:rFonts w:eastAsia="Calibri" w:cstheme="minorHAnsi"/>
          <w:kern w:val="0"/>
          <w:sz w:val="22"/>
          <w:lang w:eastAsia="en-US"/>
          <w14:ligatures w14:val="none"/>
        </w:rPr>
        <w:t>Clothing must be changed as soon as it becomes soiled</w:t>
      </w:r>
    </w:p>
    <w:p w14:paraId="2A985F7B" w14:textId="77777777" w:rsidR="0070215E" w:rsidRPr="0070215E" w:rsidRDefault="0070215E" w:rsidP="0070215E">
      <w:pPr>
        <w:numPr>
          <w:ilvl w:val="0"/>
          <w:numId w:val="15"/>
        </w:numPr>
        <w:spacing w:after="0" w:line="276" w:lineRule="auto"/>
        <w:ind w:right="0"/>
        <w:rPr>
          <w:rFonts w:eastAsia="Calibri" w:cstheme="minorHAnsi"/>
          <w:kern w:val="0"/>
          <w:sz w:val="22"/>
          <w:lang w:eastAsia="en-US"/>
          <w14:ligatures w14:val="none"/>
        </w:rPr>
      </w:pPr>
      <w:r w:rsidRPr="0070215E">
        <w:rPr>
          <w:rFonts w:eastAsia="Calibri" w:cstheme="minorHAnsi"/>
          <w:kern w:val="0"/>
          <w:sz w:val="22"/>
          <w:lang w:eastAsia="en-US"/>
          <w14:ligatures w14:val="none"/>
        </w:rPr>
        <w:t>Do not touch face or other exposed parts of the body before washing properly</w:t>
      </w:r>
    </w:p>
    <w:p w14:paraId="3293A89B" w14:textId="77777777" w:rsidR="0070215E" w:rsidRPr="0070215E" w:rsidRDefault="0070215E" w:rsidP="0070215E">
      <w:pPr>
        <w:numPr>
          <w:ilvl w:val="0"/>
          <w:numId w:val="15"/>
        </w:numPr>
        <w:spacing w:after="0" w:line="276" w:lineRule="auto"/>
        <w:ind w:right="0"/>
        <w:rPr>
          <w:rFonts w:eastAsia="Calibri" w:cstheme="minorHAnsi"/>
          <w:kern w:val="0"/>
          <w:sz w:val="22"/>
          <w:lang w:eastAsia="en-US"/>
          <w14:ligatures w14:val="none"/>
        </w:rPr>
      </w:pPr>
      <w:r w:rsidRPr="0070215E">
        <w:rPr>
          <w:rFonts w:eastAsia="Calibri" w:cstheme="minorHAnsi"/>
          <w:kern w:val="0"/>
          <w:sz w:val="22"/>
          <w:lang w:eastAsia="en-US"/>
          <w14:ligatures w14:val="none"/>
        </w:rPr>
        <w:t>Discard soiled clothing and PPE with other contaminated waste in a biohazard bag</w:t>
      </w:r>
    </w:p>
    <w:p w14:paraId="65B8219E" w14:textId="77777777" w:rsidR="0070215E" w:rsidRPr="0070215E" w:rsidRDefault="0070215E" w:rsidP="0070215E">
      <w:pPr>
        <w:numPr>
          <w:ilvl w:val="0"/>
          <w:numId w:val="15"/>
        </w:numPr>
        <w:spacing w:after="0" w:line="276" w:lineRule="auto"/>
        <w:ind w:right="0"/>
        <w:rPr>
          <w:rFonts w:eastAsia="Calibri" w:cstheme="minorHAnsi"/>
          <w:kern w:val="0"/>
          <w:sz w:val="22"/>
          <w:lang w:eastAsia="en-US"/>
          <w14:ligatures w14:val="none"/>
        </w:rPr>
      </w:pPr>
      <w:r w:rsidRPr="0070215E">
        <w:rPr>
          <w:rFonts w:eastAsia="Calibri" w:cstheme="minorHAnsi"/>
          <w:kern w:val="0"/>
          <w:sz w:val="22"/>
          <w:lang w:eastAsia="en-US"/>
          <w14:ligatures w14:val="none"/>
        </w:rPr>
        <w:t>Wear washable footwear or disposable booties</w:t>
      </w:r>
    </w:p>
    <w:p w14:paraId="63EE8609" w14:textId="77777777" w:rsidR="0070215E" w:rsidRPr="0070215E" w:rsidRDefault="0070215E" w:rsidP="0070215E">
      <w:pPr>
        <w:numPr>
          <w:ilvl w:val="0"/>
          <w:numId w:val="15"/>
        </w:numPr>
        <w:spacing w:after="0" w:line="276" w:lineRule="auto"/>
        <w:ind w:right="0"/>
        <w:rPr>
          <w:rFonts w:eastAsia="Calibri" w:cstheme="minorHAnsi"/>
          <w:kern w:val="0"/>
          <w:sz w:val="22"/>
          <w:lang w:eastAsia="en-US"/>
          <w14:ligatures w14:val="none"/>
        </w:rPr>
      </w:pPr>
      <w:r w:rsidRPr="0070215E">
        <w:rPr>
          <w:rFonts w:eastAsia="Calibri" w:cstheme="minorHAnsi"/>
          <w:kern w:val="0"/>
          <w:sz w:val="22"/>
          <w:lang w:eastAsia="en-US"/>
          <w14:ligatures w14:val="none"/>
        </w:rPr>
        <w:t xml:space="preserve">If blood, bodily fluids, secretions, or excretions from a patient under investigation (PUI) comes in direct contact with the EMS provider’s unprotected skin or mucous membranes, then the EMS provider should immediately stop working and wash affect skin. </w:t>
      </w:r>
    </w:p>
    <w:p w14:paraId="5098E6BA" w14:textId="77777777" w:rsidR="0070215E" w:rsidRPr="0070215E" w:rsidRDefault="0070215E" w:rsidP="0070215E">
      <w:pPr>
        <w:spacing w:after="0"/>
        <w:ind w:left="0" w:right="0"/>
        <w:rPr>
          <w:rFonts w:eastAsia="Calibri" w:cstheme="minorHAnsi"/>
          <w:kern w:val="0"/>
          <w:sz w:val="22"/>
          <w:lang w:eastAsia="en-US"/>
          <w14:ligatures w14:val="none"/>
        </w:rPr>
      </w:pPr>
    </w:p>
    <w:p w14:paraId="14D85726" w14:textId="77777777" w:rsidR="0070215E" w:rsidRPr="0070215E" w:rsidRDefault="0070215E" w:rsidP="00CC5C7F">
      <w:pPr>
        <w:spacing w:after="0"/>
        <w:ind w:left="0" w:right="0"/>
        <w:rPr>
          <w:rFonts w:eastAsia="Calibri" w:cstheme="minorHAnsi"/>
          <w:kern w:val="0"/>
          <w:sz w:val="22"/>
          <w:lang w:eastAsia="en-US"/>
          <w14:ligatures w14:val="none"/>
        </w:rPr>
      </w:pPr>
      <w:r w:rsidRPr="0070215E">
        <w:rPr>
          <w:rFonts w:eastAsia="Calibri" w:cstheme="minorHAnsi"/>
          <w:kern w:val="0"/>
          <w:sz w:val="22"/>
          <w:lang w:eastAsia="en-US"/>
          <w14:ligatures w14:val="none"/>
        </w:rPr>
        <w:t xml:space="preserve">If the patient is not showing obvious signs of bleeding, vomiting, or diarrhea and there is no concern for this, EMS personnel should follow the PPE guidance for clinically stable PUIs: </w:t>
      </w:r>
      <w:hyperlink r:id="rId17" w:history="1">
        <w:r w:rsidRPr="0070215E">
          <w:rPr>
            <w:rFonts w:eastAsia="Calibri" w:cstheme="minorHAnsi"/>
            <w:color w:val="0000FF"/>
            <w:kern w:val="0"/>
            <w:sz w:val="22"/>
            <w:u w:val="single"/>
            <w:lang w:eastAsia="en-US"/>
            <w14:ligatures w14:val="none"/>
          </w:rPr>
          <w:t>https://www.cdc.gov/vhf/ebola/healthcare-us/ppe/guidance.html</w:t>
        </w:r>
      </w:hyperlink>
      <w:r w:rsidRPr="0070215E">
        <w:rPr>
          <w:rFonts w:eastAsia="Calibri" w:cstheme="minorHAnsi"/>
          <w:kern w:val="0"/>
          <w:sz w:val="22"/>
          <w:lang w:eastAsia="en-US"/>
          <w14:ligatures w14:val="none"/>
        </w:rPr>
        <w:t xml:space="preserve">. </w:t>
      </w:r>
    </w:p>
    <w:p w14:paraId="4A93FDA8" w14:textId="77777777" w:rsidR="0070215E" w:rsidRPr="0070215E" w:rsidRDefault="0070215E" w:rsidP="0070215E">
      <w:pPr>
        <w:numPr>
          <w:ilvl w:val="0"/>
          <w:numId w:val="16"/>
        </w:numPr>
        <w:spacing w:after="0" w:line="276" w:lineRule="auto"/>
        <w:ind w:right="0"/>
        <w:rPr>
          <w:rFonts w:eastAsia="Calibri" w:cstheme="minorHAnsi"/>
          <w:kern w:val="0"/>
          <w:sz w:val="22"/>
          <w:lang w:eastAsia="en-US"/>
          <w14:ligatures w14:val="none"/>
        </w:rPr>
      </w:pPr>
      <w:r w:rsidRPr="0070215E">
        <w:rPr>
          <w:rFonts w:eastAsia="Calibri" w:cstheme="minorHAnsi"/>
          <w:kern w:val="0"/>
          <w:sz w:val="22"/>
          <w:lang w:eastAsia="en-US"/>
          <w14:ligatures w14:val="none"/>
        </w:rPr>
        <w:t xml:space="preserve">PPE should be put on before entering the scene and continue to be worn until providers are no longer in contact with patient. </w:t>
      </w:r>
    </w:p>
    <w:p w14:paraId="2A77005B" w14:textId="77777777" w:rsidR="0070215E" w:rsidRPr="0070215E" w:rsidRDefault="0070215E" w:rsidP="0070215E">
      <w:pPr>
        <w:numPr>
          <w:ilvl w:val="0"/>
          <w:numId w:val="16"/>
        </w:numPr>
        <w:spacing w:after="0" w:line="276" w:lineRule="auto"/>
        <w:ind w:right="0"/>
        <w:rPr>
          <w:rFonts w:eastAsia="Calibri" w:cstheme="minorHAnsi"/>
          <w:kern w:val="0"/>
          <w:sz w:val="22"/>
          <w:lang w:eastAsia="en-US"/>
          <w14:ligatures w14:val="none"/>
        </w:rPr>
      </w:pPr>
      <w:r w:rsidRPr="0070215E">
        <w:rPr>
          <w:rFonts w:eastAsia="Calibri" w:cstheme="minorHAnsi"/>
          <w:kern w:val="0"/>
          <w:sz w:val="22"/>
          <w:lang w:eastAsia="en-US"/>
          <w14:ligatures w14:val="none"/>
        </w:rPr>
        <w:t xml:space="preserve">Limit the use of needles and other sharps and handle them with extreme care. Dispose in puncture-proof, sealed containers specific to the care of the patient, in accordance </w:t>
      </w:r>
      <w:proofErr w:type="gramStart"/>
      <w:r w:rsidRPr="0070215E">
        <w:rPr>
          <w:rFonts w:eastAsia="Calibri" w:cstheme="minorHAnsi"/>
          <w:kern w:val="0"/>
          <w:sz w:val="22"/>
          <w:lang w:eastAsia="en-US"/>
          <w14:ligatures w14:val="none"/>
        </w:rPr>
        <w:t>to</w:t>
      </w:r>
      <w:proofErr w:type="gramEnd"/>
      <w:r w:rsidRPr="0070215E">
        <w:rPr>
          <w:rFonts w:eastAsia="Calibri" w:cstheme="minorHAnsi"/>
          <w:kern w:val="0"/>
          <w:sz w:val="22"/>
          <w:lang w:eastAsia="en-US"/>
          <w14:ligatures w14:val="none"/>
        </w:rPr>
        <w:t xml:space="preserve"> OSHA’s bloodborne pathogens standard. </w:t>
      </w:r>
    </w:p>
    <w:p w14:paraId="3255733C" w14:textId="77777777" w:rsidR="0070215E" w:rsidRPr="0070215E" w:rsidRDefault="0070215E" w:rsidP="0070215E">
      <w:pPr>
        <w:numPr>
          <w:ilvl w:val="0"/>
          <w:numId w:val="16"/>
        </w:numPr>
        <w:spacing w:after="0" w:line="276" w:lineRule="auto"/>
        <w:ind w:right="0"/>
        <w:rPr>
          <w:rFonts w:eastAsia="Calibri" w:cstheme="minorHAnsi"/>
          <w:kern w:val="0"/>
          <w:sz w:val="22"/>
          <w:lang w:eastAsia="en-US"/>
          <w14:ligatures w14:val="none"/>
        </w:rPr>
      </w:pPr>
      <w:r w:rsidRPr="0070215E">
        <w:rPr>
          <w:rFonts w:eastAsia="Calibri" w:cstheme="minorHAnsi"/>
          <w:kern w:val="0"/>
          <w:sz w:val="22"/>
          <w:lang w:eastAsia="en-US"/>
          <w14:ligatures w14:val="none"/>
        </w:rPr>
        <w:t xml:space="preserve">If patient is vomiting, give them a large red biohazard bag. </w:t>
      </w:r>
    </w:p>
    <w:p w14:paraId="133285EA" w14:textId="77777777" w:rsidR="0070215E" w:rsidRPr="0070215E" w:rsidRDefault="0070215E" w:rsidP="0070215E">
      <w:pPr>
        <w:numPr>
          <w:ilvl w:val="0"/>
          <w:numId w:val="16"/>
        </w:numPr>
        <w:spacing w:after="0" w:line="276" w:lineRule="auto"/>
        <w:ind w:right="0"/>
        <w:rPr>
          <w:rFonts w:eastAsia="Calibri" w:cstheme="minorHAnsi"/>
          <w:b/>
          <w:color w:val="4BACC6"/>
          <w:kern w:val="0"/>
          <w:sz w:val="22"/>
          <w:lang w:eastAsia="en-US"/>
          <w14:ligatures w14:val="none"/>
        </w:rPr>
      </w:pPr>
      <w:r w:rsidRPr="0070215E">
        <w:rPr>
          <w:rFonts w:eastAsia="Calibri" w:cstheme="minorHAnsi"/>
          <w:kern w:val="0"/>
          <w:sz w:val="22"/>
          <w:lang w:eastAsia="en-US"/>
          <w14:ligatures w14:val="none"/>
        </w:rPr>
        <w:t xml:space="preserve">Wrap patient in an impermeable sheet to reduce contamination of other surfaces if patient has profuse diarrhea </w:t>
      </w:r>
      <w:r w:rsidRPr="0070215E">
        <w:rPr>
          <w:rFonts w:eastAsia="Calibri" w:cstheme="minorHAnsi"/>
          <w:kern w:val="0"/>
          <w:sz w:val="22"/>
          <w:lang w:eastAsia="en-US"/>
          <w14:ligatures w14:val="none"/>
        </w:rPr>
        <w:br/>
      </w:r>
    </w:p>
    <w:p w14:paraId="14480F91" w14:textId="77777777" w:rsidR="0070215E" w:rsidRPr="0070215E" w:rsidRDefault="0070215E" w:rsidP="00CC5C7F">
      <w:pPr>
        <w:pStyle w:val="Heading4"/>
        <w:ind w:left="0"/>
        <w:rPr>
          <w:rFonts w:eastAsia="Calibri"/>
          <w:lang w:eastAsia="en-US"/>
        </w:rPr>
      </w:pPr>
      <w:bookmarkStart w:id="14" w:name="_Toc103717328"/>
      <w:r w:rsidRPr="0070215E">
        <w:rPr>
          <w:rFonts w:eastAsia="Calibri"/>
          <w:lang w:eastAsia="en-US"/>
        </w:rPr>
        <w:t>After Transport Clean-Up</w:t>
      </w:r>
      <w:bookmarkEnd w:id="14"/>
    </w:p>
    <w:p w14:paraId="661349DE" w14:textId="0644C2DC" w:rsidR="0070215E" w:rsidRPr="0070215E" w:rsidRDefault="0070215E" w:rsidP="00CC5C7F">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The following are general guidelines per CDC regulations for cleaning or maintaining EMS transport vehicles and equipment after transporting a PUI:</w:t>
      </w:r>
    </w:p>
    <w:p w14:paraId="0D05C702" w14:textId="77777777" w:rsidR="0070215E" w:rsidRPr="0070215E" w:rsidRDefault="0070215E" w:rsidP="0070215E">
      <w:pPr>
        <w:numPr>
          <w:ilvl w:val="0"/>
          <w:numId w:val="8"/>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EMS providers should wear PPE if performing cleaning and disinfection where body fluids are present (vomit, diarrhea, sweat, urine, or blood). If </w:t>
      </w:r>
      <w:proofErr w:type="gramStart"/>
      <w:r w:rsidRPr="0070215E">
        <w:rPr>
          <w:rFonts w:eastAsia="Calibri" w:cstheme="minorHAnsi"/>
          <w:color w:val="000000"/>
          <w:kern w:val="0"/>
          <w:sz w:val="22"/>
          <w:lang w:eastAsia="en-US"/>
          <w14:ligatures w14:val="none"/>
        </w:rPr>
        <w:t>not</w:t>
      </w:r>
      <w:proofErr w:type="gramEnd"/>
      <w:r w:rsidRPr="0070215E">
        <w:rPr>
          <w:rFonts w:eastAsia="Calibri" w:cstheme="minorHAnsi"/>
          <w:color w:val="000000"/>
          <w:kern w:val="0"/>
          <w:sz w:val="22"/>
          <w:lang w:eastAsia="en-US"/>
          <w14:ligatures w14:val="none"/>
        </w:rPr>
        <w:t xml:space="preserve"> body fluids are present then minimal PPE can be worn:</w:t>
      </w:r>
    </w:p>
    <w:p w14:paraId="31B046C8" w14:textId="77777777" w:rsidR="0070215E" w:rsidRPr="0070215E" w:rsidRDefault="0070215E" w:rsidP="0070215E">
      <w:pPr>
        <w:numPr>
          <w:ilvl w:val="1"/>
          <w:numId w:val="8"/>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Face shield with surgical face mask</w:t>
      </w:r>
    </w:p>
    <w:p w14:paraId="52984331" w14:textId="77777777" w:rsidR="0070215E" w:rsidRPr="0070215E" w:rsidRDefault="0070215E" w:rsidP="0070215E">
      <w:pPr>
        <w:numPr>
          <w:ilvl w:val="1"/>
          <w:numId w:val="8"/>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Impermeable gown</w:t>
      </w:r>
    </w:p>
    <w:p w14:paraId="36569527" w14:textId="77777777" w:rsidR="0070215E" w:rsidRPr="0070215E" w:rsidRDefault="0070215E" w:rsidP="0070215E">
      <w:pPr>
        <w:numPr>
          <w:ilvl w:val="1"/>
          <w:numId w:val="8"/>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Two pairs of gloves</w:t>
      </w:r>
    </w:p>
    <w:p w14:paraId="32A4D7A7" w14:textId="77777777" w:rsidR="0070215E" w:rsidRPr="0070215E" w:rsidRDefault="0070215E" w:rsidP="0070215E">
      <w:pPr>
        <w:numPr>
          <w:ilvl w:val="0"/>
          <w:numId w:val="8"/>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Patient-care surfaces (including stretchers, railings, door handles, medical equipment control panels, and adjacent flooring, walls, and work surfaces) should be cleaned and disinfected thoroughly</w:t>
      </w:r>
    </w:p>
    <w:p w14:paraId="78F1FD61" w14:textId="77777777" w:rsidR="0070215E" w:rsidRPr="0070215E" w:rsidRDefault="0070215E" w:rsidP="0070215E">
      <w:pPr>
        <w:numPr>
          <w:ilvl w:val="0"/>
          <w:numId w:val="8"/>
        </w:numPr>
        <w:spacing w:after="0" w:line="276" w:lineRule="auto"/>
        <w:ind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lastRenderedPageBreak/>
        <w:t>Contaminated reusable patient care equipment (i.e., blood pressure cuff) should be placed in a biohazard bag and labeled for cleaning and disinfection or disposal according to agency policies and manufacturer’s instructions by trained personnel wearing correct PPE</w:t>
      </w:r>
    </w:p>
    <w:p w14:paraId="769258AA" w14:textId="77777777" w:rsidR="0070215E" w:rsidRPr="0070215E" w:rsidRDefault="0070215E" w:rsidP="0070215E">
      <w:pPr>
        <w:spacing w:after="0"/>
        <w:ind w:left="0" w:right="0"/>
        <w:rPr>
          <w:rFonts w:eastAsia="Calibri" w:cstheme="minorHAnsi"/>
          <w:b/>
          <w:kern w:val="0"/>
          <w:sz w:val="22"/>
          <w:lang w:eastAsia="en-US"/>
          <w14:ligatures w14:val="none"/>
        </w:rPr>
      </w:pPr>
    </w:p>
    <w:p w14:paraId="67605749" w14:textId="77777777" w:rsidR="0070215E" w:rsidRPr="0070215E" w:rsidRDefault="0070215E" w:rsidP="00CC5C7F">
      <w:pPr>
        <w:pStyle w:val="Heading3"/>
      </w:pPr>
      <w:bookmarkStart w:id="15" w:name="_Toc103717329"/>
      <w:r w:rsidRPr="0070215E">
        <w:t>Disposal of Waste</w:t>
      </w:r>
      <w:bookmarkEnd w:id="15"/>
    </w:p>
    <w:p w14:paraId="76016A27" w14:textId="77777777" w:rsidR="0070215E" w:rsidRPr="0070215E" w:rsidRDefault="0070215E" w:rsidP="0070215E">
      <w:pPr>
        <w:spacing w:after="0"/>
        <w:ind w:left="0" w:right="0"/>
        <w:rPr>
          <w:rFonts w:eastAsia="Calibri" w:cstheme="minorHAnsi"/>
          <w:b/>
          <w:kern w:val="0"/>
          <w:sz w:val="22"/>
          <w:lang w:eastAsia="en-US"/>
          <w14:ligatures w14:val="none"/>
        </w:rPr>
      </w:pPr>
    </w:p>
    <w:p w14:paraId="2F5243D1" w14:textId="789C1472" w:rsidR="0070215E" w:rsidRPr="0070215E" w:rsidRDefault="00CC5C7F" w:rsidP="0070215E">
      <w:pPr>
        <w:spacing w:after="0"/>
        <w:ind w:left="0" w:right="0"/>
        <w:rPr>
          <w:rFonts w:eastAsia="Calibri" w:cstheme="minorHAnsi"/>
          <w:color w:val="000000"/>
          <w:kern w:val="0"/>
          <w:sz w:val="22"/>
          <w:lang w:eastAsia="en-US"/>
          <w14:ligatures w14:val="none"/>
        </w:rPr>
      </w:pPr>
      <w:r>
        <w:rPr>
          <w:rFonts w:eastAsia="Calibri" w:cstheme="minorHAnsi"/>
          <w:color w:val="000000"/>
          <w:kern w:val="0"/>
          <w:sz w:val="22"/>
          <w:lang w:eastAsia="en-US"/>
          <w14:ligatures w14:val="none"/>
        </w:rPr>
        <w:t>T</w:t>
      </w:r>
      <w:r w:rsidR="0070215E" w:rsidRPr="0070215E">
        <w:rPr>
          <w:rFonts w:eastAsia="Calibri" w:cstheme="minorHAnsi"/>
          <w:color w:val="000000"/>
          <w:kern w:val="0"/>
          <w:sz w:val="22"/>
          <w:lang w:eastAsia="en-US"/>
          <w14:ligatures w14:val="none"/>
        </w:rPr>
        <w:t xml:space="preserve">reatment, storage, and disposal of hazardous waste is regulated under the Resource Conservation and Recovery Act (RCRA) and Minnesota Hazardous Waste Rules. </w:t>
      </w:r>
    </w:p>
    <w:p w14:paraId="02008744" w14:textId="77777777" w:rsidR="0070215E" w:rsidRPr="0070215E" w:rsidRDefault="0070215E" w:rsidP="0070215E">
      <w:pPr>
        <w:spacing w:after="0"/>
        <w:ind w:left="0" w:right="0"/>
        <w:rPr>
          <w:rFonts w:eastAsia="Calibri" w:cstheme="minorHAnsi"/>
          <w:color w:val="000000"/>
          <w:kern w:val="0"/>
          <w:sz w:val="22"/>
          <w:lang w:eastAsia="en-US"/>
          <w14:ligatures w14:val="none"/>
        </w:rPr>
      </w:pPr>
    </w:p>
    <w:p w14:paraId="6951E31D" w14:textId="77777777" w:rsidR="0070215E" w:rsidRPr="0070215E" w:rsidRDefault="0070215E" w:rsidP="002123F2">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 xml:space="preserve">These are the numbers of the hazardous </w:t>
      </w:r>
      <w:proofErr w:type="gramStart"/>
      <w:r w:rsidRPr="0070215E">
        <w:rPr>
          <w:rFonts w:eastAsia="Calibri" w:cstheme="minorHAnsi"/>
          <w:color w:val="000000"/>
          <w:kern w:val="0"/>
          <w:sz w:val="22"/>
          <w:lang w:eastAsia="en-US"/>
          <w14:ligatures w14:val="none"/>
        </w:rPr>
        <w:t>wastes</w:t>
      </w:r>
      <w:proofErr w:type="gramEnd"/>
      <w:r w:rsidRPr="0070215E">
        <w:rPr>
          <w:rFonts w:eastAsia="Calibri" w:cstheme="minorHAnsi"/>
          <w:color w:val="000000"/>
          <w:kern w:val="0"/>
          <w:sz w:val="22"/>
          <w:lang w:eastAsia="en-US"/>
          <w14:ligatures w14:val="none"/>
        </w:rPr>
        <w:t xml:space="preserve"> offices in the state:</w:t>
      </w:r>
    </w:p>
    <w:p w14:paraId="0582BE36" w14:textId="77777777" w:rsidR="0070215E" w:rsidRPr="0070215E" w:rsidRDefault="0070215E" w:rsidP="0070215E">
      <w:pPr>
        <w:spacing w:after="0"/>
        <w:ind w:left="0" w:right="0" w:firstLine="720"/>
        <w:rPr>
          <w:rFonts w:eastAsia="Calibri" w:cstheme="minorHAnsi"/>
          <w:color w:val="000000"/>
          <w:kern w:val="0"/>
          <w:sz w:val="22"/>
          <w:lang w:eastAsia="en-US"/>
          <w14:ligatures w14:val="none"/>
        </w:rPr>
      </w:pPr>
    </w:p>
    <w:p w14:paraId="03C7CC9A" w14:textId="77777777" w:rsidR="0070215E" w:rsidRPr="0070215E" w:rsidRDefault="0070215E" w:rsidP="0070215E">
      <w:pPr>
        <w:spacing w:after="0"/>
        <w:ind w:left="0" w:right="0"/>
        <w:rPr>
          <w:rFonts w:eastAsia="Calibri" w:cstheme="minorHAnsi"/>
          <w:color w:val="222222"/>
          <w:kern w:val="0"/>
          <w:sz w:val="22"/>
          <w:lang w:eastAsia="en-US"/>
          <w14:ligatures w14:val="none"/>
        </w:rPr>
      </w:pPr>
      <w:r w:rsidRPr="0070215E">
        <w:rPr>
          <w:rFonts w:eastAsia="Calibri" w:cstheme="minorHAnsi"/>
          <w:b/>
          <w:bCs/>
          <w:color w:val="222222"/>
          <w:kern w:val="0"/>
          <w:sz w:val="22"/>
          <w:lang w:eastAsia="en-US"/>
          <w14:ligatures w14:val="none"/>
        </w:rPr>
        <w:t>Metro County Hazardous Waste Offices</w:t>
      </w:r>
    </w:p>
    <w:p w14:paraId="2300DF27" w14:textId="77777777" w:rsidR="0070215E" w:rsidRPr="0070215E" w:rsidRDefault="0070215E" w:rsidP="0070215E">
      <w:pPr>
        <w:numPr>
          <w:ilvl w:val="0"/>
          <w:numId w:val="9"/>
        </w:numPr>
        <w:spacing w:after="0" w:line="276" w:lineRule="auto"/>
        <w:ind w:right="0"/>
        <w:rPr>
          <w:rFonts w:eastAsia="Times New Roman" w:cstheme="minorHAnsi"/>
          <w:color w:val="222222"/>
          <w:kern w:val="0"/>
          <w:sz w:val="22"/>
          <w:lang w:eastAsia="en-US"/>
          <w14:ligatures w14:val="none"/>
        </w:rPr>
      </w:pPr>
      <w:r w:rsidRPr="0070215E">
        <w:rPr>
          <w:rFonts w:eastAsia="Times New Roman" w:cstheme="minorHAnsi"/>
          <w:color w:val="222222"/>
          <w:kern w:val="0"/>
          <w:sz w:val="22"/>
          <w:lang w:eastAsia="en-US"/>
          <w14:ligatures w14:val="none"/>
        </w:rPr>
        <w:t>Anoka County 763-422-7093</w:t>
      </w:r>
    </w:p>
    <w:p w14:paraId="737D9F46" w14:textId="77777777" w:rsidR="0070215E" w:rsidRPr="0070215E" w:rsidRDefault="0070215E" w:rsidP="0070215E">
      <w:pPr>
        <w:numPr>
          <w:ilvl w:val="0"/>
          <w:numId w:val="9"/>
        </w:numPr>
        <w:spacing w:after="0" w:line="276" w:lineRule="auto"/>
        <w:ind w:right="0"/>
        <w:rPr>
          <w:rFonts w:eastAsia="Times New Roman" w:cstheme="minorHAnsi"/>
          <w:color w:val="222222"/>
          <w:kern w:val="0"/>
          <w:sz w:val="22"/>
          <w:lang w:eastAsia="en-US"/>
          <w14:ligatures w14:val="none"/>
        </w:rPr>
      </w:pPr>
      <w:r w:rsidRPr="0070215E">
        <w:rPr>
          <w:rFonts w:eastAsia="Times New Roman" w:cstheme="minorHAnsi"/>
          <w:color w:val="222222"/>
          <w:kern w:val="0"/>
          <w:sz w:val="22"/>
          <w:lang w:eastAsia="en-US"/>
          <w14:ligatures w14:val="none"/>
        </w:rPr>
        <w:t>Carver County 952-361-1800</w:t>
      </w:r>
    </w:p>
    <w:p w14:paraId="355444E7" w14:textId="77777777" w:rsidR="0070215E" w:rsidRPr="0070215E" w:rsidRDefault="0070215E" w:rsidP="0070215E">
      <w:pPr>
        <w:numPr>
          <w:ilvl w:val="0"/>
          <w:numId w:val="9"/>
        </w:numPr>
        <w:spacing w:after="0" w:line="276" w:lineRule="auto"/>
        <w:ind w:right="0"/>
        <w:rPr>
          <w:rFonts w:eastAsia="Times New Roman" w:cstheme="minorHAnsi"/>
          <w:color w:val="222222"/>
          <w:kern w:val="0"/>
          <w:sz w:val="22"/>
          <w:lang w:eastAsia="en-US"/>
          <w14:ligatures w14:val="none"/>
        </w:rPr>
      </w:pPr>
      <w:r w:rsidRPr="0070215E">
        <w:rPr>
          <w:rFonts w:eastAsia="Times New Roman" w:cstheme="minorHAnsi"/>
          <w:color w:val="222222"/>
          <w:kern w:val="0"/>
          <w:sz w:val="22"/>
          <w:lang w:eastAsia="en-US"/>
          <w14:ligatures w14:val="none"/>
        </w:rPr>
        <w:t>Dakota County 952-891-7557</w:t>
      </w:r>
    </w:p>
    <w:p w14:paraId="7CE43126" w14:textId="77777777" w:rsidR="0070215E" w:rsidRPr="0070215E" w:rsidRDefault="0070215E" w:rsidP="0070215E">
      <w:pPr>
        <w:numPr>
          <w:ilvl w:val="0"/>
          <w:numId w:val="9"/>
        </w:numPr>
        <w:spacing w:after="0" w:line="276" w:lineRule="auto"/>
        <w:ind w:right="0"/>
        <w:rPr>
          <w:rFonts w:eastAsia="Times New Roman" w:cstheme="minorHAnsi"/>
          <w:color w:val="222222"/>
          <w:kern w:val="0"/>
          <w:sz w:val="22"/>
          <w:lang w:eastAsia="en-US"/>
          <w14:ligatures w14:val="none"/>
        </w:rPr>
      </w:pPr>
      <w:r w:rsidRPr="0070215E">
        <w:rPr>
          <w:rFonts w:eastAsia="Times New Roman" w:cstheme="minorHAnsi"/>
          <w:color w:val="222222"/>
          <w:kern w:val="0"/>
          <w:sz w:val="22"/>
          <w:lang w:eastAsia="en-US"/>
          <w14:ligatures w14:val="none"/>
        </w:rPr>
        <w:t>Hennepin County 612-348-3777</w:t>
      </w:r>
    </w:p>
    <w:p w14:paraId="593E79D6" w14:textId="77777777" w:rsidR="0070215E" w:rsidRPr="0070215E" w:rsidRDefault="0070215E" w:rsidP="0070215E">
      <w:pPr>
        <w:numPr>
          <w:ilvl w:val="0"/>
          <w:numId w:val="9"/>
        </w:numPr>
        <w:spacing w:after="0" w:line="276" w:lineRule="auto"/>
        <w:ind w:right="0"/>
        <w:rPr>
          <w:rFonts w:eastAsia="Times New Roman" w:cstheme="minorHAnsi"/>
          <w:color w:val="222222"/>
          <w:kern w:val="0"/>
          <w:sz w:val="22"/>
          <w:lang w:eastAsia="en-US"/>
          <w14:ligatures w14:val="none"/>
        </w:rPr>
      </w:pPr>
      <w:r w:rsidRPr="0070215E">
        <w:rPr>
          <w:rFonts w:eastAsia="Times New Roman" w:cstheme="minorHAnsi"/>
          <w:color w:val="222222"/>
          <w:kern w:val="0"/>
          <w:sz w:val="22"/>
          <w:lang w:eastAsia="en-US"/>
          <w14:ligatures w14:val="none"/>
        </w:rPr>
        <w:t>Ramsey County 651-266-1199</w:t>
      </w:r>
    </w:p>
    <w:p w14:paraId="4CD4EA79" w14:textId="77777777" w:rsidR="0070215E" w:rsidRPr="0070215E" w:rsidRDefault="0070215E" w:rsidP="0070215E">
      <w:pPr>
        <w:numPr>
          <w:ilvl w:val="0"/>
          <w:numId w:val="9"/>
        </w:numPr>
        <w:spacing w:after="0" w:line="276" w:lineRule="auto"/>
        <w:ind w:right="0"/>
        <w:rPr>
          <w:rFonts w:eastAsia="Times New Roman" w:cstheme="minorHAnsi"/>
          <w:color w:val="222222"/>
          <w:kern w:val="0"/>
          <w:sz w:val="22"/>
          <w:lang w:eastAsia="en-US"/>
          <w14:ligatures w14:val="none"/>
        </w:rPr>
      </w:pPr>
      <w:r w:rsidRPr="0070215E">
        <w:rPr>
          <w:rFonts w:eastAsia="Times New Roman" w:cstheme="minorHAnsi"/>
          <w:color w:val="222222"/>
          <w:kern w:val="0"/>
          <w:sz w:val="22"/>
          <w:lang w:eastAsia="en-US"/>
          <w14:ligatures w14:val="none"/>
        </w:rPr>
        <w:t>Scott County 952-496-8177</w:t>
      </w:r>
    </w:p>
    <w:p w14:paraId="1F33F4BB" w14:textId="77777777" w:rsidR="0070215E" w:rsidRPr="0070215E" w:rsidRDefault="0070215E" w:rsidP="0070215E">
      <w:pPr>
        <w:numPr>
          <w:ilvl w:val="0"/>
          <w:numId w:val="9"/>
        </w:numPr>
        <w:spacing w:after="0" w:line="276" w:lineRule="auto"/>
        <w:ind w:right="0"/>
        <w:rPr>
          <w:rFonts w:eastAsia="Times New Roman" w:cstheme="minorHAnsi"/>
          <w:color w:val="222222"/>
          <w:kern w:val="0"/>
          <w:sz w:val="22"/>
          <w:lang w:eastAsia="en-US"/>
          <w14:ligatures w14:val="none"/>
        </w:rPr>
      </w:pPr>
      <w:r w:rsidRPr="0070215E">
        <w:rPr>
          <w:rFonts w:eastAsia="Times New Roman" w:cstheme="minorHAnsi"/>
          <w:color w:val="222222"/>
          <w:kern w:val="0"/>
          <w:sz w:val="22"/>
          <w:lang w:eastAsia="en-US"/>
          <w14:ligatures w14:val="none"/>
        </w:rPr>
        <w:t>Washington County 651-430-6655</w:t>
      </w:r>
    </w:p>
    <w:p w14:paraId="27407C6E" w14:textId="77777777" w:rsidR="0070215E" w:rsidRPr="0070215E" w:rsidRDefault="0070215E" w:rsidP="0070215E">
      <w:pPr>
        <w:spacing w:after="0"/>
        <w:ind w:left="0" w:right="0"/>
        <w:rPr>
          <w:rFonts w:eastAsia="Times New Roman" w:cstheme="minorHAnsi"/>
          <w:color w:val="222222"/>
          <w:kern w:val="0"/>
          <w:sz w:val="22"/>
          <w:lang w:eastAsia="en-US"/>
          <w14:ligatures w14:val="none"/>
        </w:rPr>
      </w:pPr>
    </w:p>
    <w:p w14:paraId="6FF26146" w14:textId="77777777" w:rsidR="0070215E" w:rsidRPr="0070215E" w:rsidRDefault="0070215E" w:rsidP="0070215E">
      <w:pPr>
        <w:spacing w:after="188"/>
        <w:ind w:left="0" w:right="0"/>
        <w:rPr>
          <w:rFonts w:eastAsia="Times New Roman" w:cstheme="minorHAnsi"/>
          <w:color w:val="222222"/>
          <w:kern w:val="0"/>
          <w:sz w:val="22"/>
          <w:lang w:val="en" w:eastAsia="en-US"/>
          <w14:ligatures w14:val="none"/>
        </w:rPr>
      </w:pPr>
      <w:r w:rsidRPr="0070215E">
        <w:rPr>
          <w:rFonts w:eastAsia="Times New Roman" w:cstheme="minorHAnsi"/>
          <w:b/>
          <w:bCs/>
          <w:color w:val="222222"/>
          <w:kern w:val="0"/>
          <w:sz w:val="22"/>
          <w:lang w:val="en" w:eastAsia="en-US"/>
          <w14:ligatures w14:val="none"/>
        </w:rPr>
        <w:t>Minnesota Pollution Control Agency</w:t>
      </w:r>
    </w:p>
    <w:p w14:paraId="408AA80D" w14:textId="77777777" w:rsidR="0070215E" w:rsidRPr="0070215E" w:rsidRDefault="0070215E" w:rsidP="0070215E">
      <w:pPr>
        <w:numPr>
          <w:ilvl w:val="0"/>
          <w:numId w:val="17"/>
        </w:numPr>
        <w:spacing w:before="100" w:beforeAutospacing="1" w:after="100" w:afterAutospacing="1" w:line="276" w:lineRule="auto"/>
        <w:ind w:left="495" w:right="0"/>
        <w:rPr>
          <w:rFonts w:eastAsia="Times New Roman" w:cstheme="minorHAnsi"/>
          <w:color w:val="222222"/>
          <w:kern w:val="0"/>
          <w:sz w:val="22"/>
          <w:lang w:val="en" w:eastAsia="en-US"/>
          <w14:ligatures w14:val="none"/>
        </w:rPr>
      </w:pPr>
      <w:r w:rsidRPr="0070215E">
        <w:rPr>
          <w:rFonts w:eastAsia="Times New Roman" w:cstheme="minorHAnsi"/>
          <w:color w:val="222222"/>
          <w:kern w:val="0"/>
          <w:sz w:val="22"/>
          <w:lang w:val="en" w:eastAsia="en-US"/>
          <w14:ligatures w14:val="none"/>
        </w:rPr>
        <w:t>Toll free 800-657-3864</w:t>
      </w:r>
    </w:p>
    <w:p w14:paraId="225DCAAC" w14:textId="77777777" w:rsidR="0070215E" w:rsidRPr="0070215E" w:rsidRDefault="0070215E" w:rsidP="0070215E">
      <w:pPr>
        <w:numPr>
          <w:ilvl w:val="0"/>
          <w:numId w:val="17"/>
        </w:numPr>
        <w:spacing w:before="100" w:beforeAutospacing="1" w:after="100" w:afterAutospacing="1" w:line="276" w:lineRule="auto"/>
        <w:ind w:left="495" w:right="0"/>
        <w:rPr>
          <w:rFonts w:eastAsia="Times New Roman" w:cstheme="minorHAnsi"/>
          <w:color w:val="222222"/>
          <w:kern w:val="0"/>
          <w:sz w:val="22"/>
          <w:lang w:val="en" w:eastAsia="en-US"/>
          <w14:ligatures w14:val="none"/>
        </w:rPr>
      </w:pPr>
      <w:r w:rsidRPr="0070215E">
        <w:rPr>
          <w:rFonts w:eastAsia="Times New Roman" w:cstheme="minorHAnsi"/>
          <w:color w:val="222222"/>
          <w:kern w:val="0"/>
          <w:sz w:val="22"/>
          <w:lang w:val="en" w:eastAsia="en-US"/>
          <w14:ligatures w14:val="none"/>
        </w:rPr>
        <w:t>Brainerd 218-828-2492</w:t>
      </w:r>
    </w:p>
    <w:p w14:paraId="0334FB0F" w14:textId="77777777" w:rsidR="0070215E" w:rsidRPr="0070215E" w:rsidRDefault="0070215E" w:rsidP="0070215E">
      <w:pPr>
        <w:numPr>
          <w:ilvl w:val="0"/>
          <w:numId w:val="17"/>
        </w:numPr>
        <w:spacing w:before="100" w:beforeAutospacing="1" w:after="100" w:afterAutospacing="1" w:line="276" w:lineRule="auto"/>
        <w:ind w:left="495" w:right="0"/>
        <w:rPr>
          <w:rFonts w:eastAsia="Times New Roman" w:cstheme="minorHAnsi"/>
          <w:color w:val="222222"/>
          <w:kern w:val="0"/>
          <w:sz w:val="22"/>
          <w:lang w:val="en" w:eastAsia="en-US"/>
          <w14:ligatures w14:val="none"/>
        </w:rPr>
      </w:pPr>
      <w:r w:rsidRPr="0070215E">
        <w:rPr>
          <w:rFonts w:eastAsia="Times New Roman" w:cstheme="minorHAnsi"/>
          <w:color w:val="222222"/>
          <w:kern w:val="0"/>
          <w:sz w:val="22"/>
          <w:lang w:val="en" w:eastAsia="en-US"/>
          <w14:ligatures w14:val="none"/>
        </w:rPr>
        <w:t>Detroit Lakes 218-847-1519</w:t>
      </w:r>
    </w:p>
    <w:p w14:paraId="2290285F" w14:textId="77777777" w:rsidR="0070215E" w:rsidRPr="0070215E" w:rsidRDefault="0070215E" w:rsidP="0070215E">
      <w:pPr>
        <w:numPr>
          <w:ilvl w:val="0"/>
          <w:numId w:val="17"/>
        </w:numPr>
        <w:spacing w:before="100" w:beforeAutospacing="1" w:after="100" w:afterAutospacing="1" w:line="276" w:lineRule="auto"/>
        <w:ind w:left="495" w:right="0"/>
        <w:rPr>
          <w:rFonts w:eastAsia="Times New Roman" w:cstheme="minorHAnsi"/>
          <w:color w:val="222222"/>
          <w:kern w:val="0"/>
          <w:sz w:val="22"/>
          <w:lang w:val="en" w:eastAsia="en-US"/>
          <w14:ligatures w14:val="none"/>
        </w:rPr>
      </w:pPr>
      <w:r w:rsidRPr="0070215E">
        <w:rPr>
          <w:rFonts w:eastAsia="Times New Roman" w:cstheme="minorHAnsi"/>
          <w:color w:val="222222"/>
          <w:kern w:val="0"/>
          <w:sz w:val="22"/>
          <w:lang w:val="en" w:eastAsia="en-US"/>
          <w14:ligatures w14:val="none"/>
        </w:rPr>
        <w:t>Duluth 218-723-4660</w:t>
      </w:r>
    </w:p>
    <w:p w14:paraId="0F6987A7" w14:textId="77777777" w:rsidR="0070215E" w:rsidRPr="0070215E" w:rsidRDefault="0070215E" w:rsidP="0070215E">
      <w:pPr>
        <w:numPr>
          <w:ilvl w:val="0"/>
          <w:numId w:val="17"/>
        </w:numPr>
        <w:spacing w:before="100" w:beforeAutospacing="1" w:after="100" w:afterAutospacing="1" w:line="276" w:lineRule="auto"/>
        <w:ind w:left="495" w:right="0"/>
        <w:rPr>
          <w:rFonts w:eastAsia="Times New Roman" w:cstheme="minorHAnsi"/>
          <w:color w:val="222222"/>
          <w:kern w:val="0"/>
          <w:sz w:val="22"/>
          <w:lang w:val="en" w:eastAsia="en-US"/>
          <w14:ligatures w14:val="none"/>
        </w:rPr>
      </w:pPr>
      <w:r w:rsidRPr="0070215E">
        <w:rPr>
          <w:rFonts w:eastAsia="Times New Roman" w:cstheme="minorHAnsi"/>
          <w:color w:val="222222"/>
          <w:kern w:val="0"/>
          <w:sz w:val="22"/>
          <w:lang w:val="en" w:eastAsia="en-US"/>
          <w14:ligatures w14:val="none"/>
        </w:rPr>
        <w:t>Mankato 507-389-5977</w:t>
      </w:r>
    </w:p>
    <w:p w14:paraId="5E85D28E" w14:textId="77777777" w:rsidR="0070215E" w:rsidRPr="0070215E" w:rsidRDefault="0070215E" w:rsidP="0070215E">
      <w:pPr>
        <w:numPr>
          <w:ilvl w:val="0"/>
          <w:numId w:val="17"/>
        </w:numPr>
        <w:spacing w:before="100" w:beforeAutospacing="1" w:after="100" w:afterAutospacing="1" w:line="276" w:lineRule="auto"/>
        <w:ind w:left="495" w:right="0"/>
        <w:rPr>
          <w:rFonts w:eastAsia="Times New Roman" w:cstheme="minorHAnsi"/>
          <w:color w:val="222222"/>
          <w:kern w:val="0"/>
          <w:sz w:val="22"/>
          <w:lang w:val="en" w:eastAsia="en-US"/>
          <w14:ligatures w14:val="none"/>
        </w:rPr>
      </w:pPr>
      <w:r w:rsidRPr="0070215E">
        <w:rPr>
          <w:rFonts w:eastAsia="Times New Roman" w:cstheme="minorHAnsi"/>
          <w:color w:val="222222"/>
          <w:kern w:val="0"/>
          <w:sz w:val="22"/>
          <w:lang w:val="en" w:eastAsia="en-US"/>
          <w14:ligatures w14:val="none"/>
        </w:rPr>
        <w:t>Marshall 507-537-7146</w:t>
      </w:r>
    </w:p>
    <w:p w14:paraId="4EEB76F7" w14:textId="77777777" w:rsidR="0070215E" w:rsidRPr="0070215E" w:rsidRDefault="0070215E" w:rsidP="0070215E">
      <w:pPr>
        <w:numPr>
          <w:ilvl w:val="0"/>
          <w:numId w:val="17"/>
        </w:numPr>
        <w:spacing w:before="100" w:beforeAutospacing="1" w:after="100" w:afterAutospacing="1" w:line="276" w:lineRule="auto"/>
        <w:ind w:left="495" w:right="0"/>
        <w:rPr>
          <w:rFonts w:eastAsia="Times New Roman" w:cstheme="minorHAnsi"/>
          <w:color w:val="222222"/>
          <w:kern w:val="0"/>
          <w:sz w:val="22"/>
          <w:lang w:val="en" w:eastAsia="en-US"/>
          <w14:ligatures w14:val="none"/>
        </w:rPr>
      </w:pPr>
      <w:r w:rsidRPr="0070215E">
        <w:rPr>
          <w:rFonts w:eastAsia="Times New Roman" w:cstheme="minorHAnsi"/>
          <w:color w:val="222222"/>
          <w:kern w:val="0"/>
          <w:sz w:val="22"/>
          <w:lang w:val="en" w:eastAsia="en-US"/>
          <w14:ligatures w14:val="none"/>
        </w:rPr>
        <w:t>Rochester 507-285-7343</w:t>
      </w:r>
    </w:p>
    <w:p w14:paraId="3A3FB25B" w14:textId="77777777" w:rsidR="0070215E" w:rsidRPr="0070215E" w:rsidRDefault="0070215E" w:rsidP="0070215E">
      <w:pPr>
        <w:numPr>
          <w:ilvl w:val="0"/>
          <w:numId w:val="17"/>
        </w:numPr>
        <w:spacing w:before="100" w:beforeAutospacing="1" w:after="100" w:afterAutospacing="1" w:line="276" w:lineRule="auto"/>
        <w:ind w:left="495" w:right="0"/>
        <w:rPr>
          <w:rFonts w:eastAsia="Times New Roman" w:cstheme="minorHAnsi"/>
          <w:color w:val="222222"/>
          <w:kern w:val="0"/>
          <w:sz w:val="22"/>
          <w:lang w:val="en" w:eastAsia="en-US"/>
          <w14:ligatures w14:val="none"/>
        </w:rPr>
      </w:pPr>
      <w:r w:rsidRPr="0070215E">
        <w:rPr>
          <w:rFonts w:eastAsia="Times New Roman" w:cstheme="minorHAnsi"/>
          <w:color w:val="222222"/>
          <w:kern w:val="0"/>
          <w:sz w:val="22"/>
          <w:lang w:val="en" w:eastAsia="en-US"/>
          <w14:ligatures w14:val="none"/>
        </w:rPr>
        <w:t>St. Paul 651-296-6300</w:t>
      </w:r>
    </w:p>
    <w:p w14:paraId="09F355D0" w14:textId="77777777" w:rsidR="002123F2" w:rsidRDefault="0070215E" w:rsidP="002123F2">
      <w:pPr>
        <w:numPr>
          <w:ilvl w:val="0"/>
          <w:numId w:val="17"/>
        </w:numPr>
        <w:spacing w:before="100" w:beforeAutospacing="1" w:after="100" w:afterAutospacing="1" w:line="276" w:lineRule="auto"/>
        <w:ind w:left="495" w:right="0"/>
        <w:rPr>
          <w:rFonts w:eastAsia="Times New Roman" w:cstheme="minorHAnsi"/>
          <w:color w:val="222222"/>
          <w:kern w:val="0"/>
          <w:sz w:val="22"/>
          <w:lang w:val="en" w:eastAsia="en-US"/>
          <w14:ligatures w14:val="none"/>
        </w:rPr>
      </w:pPr>
      <w:r w:rsidRPr="0070215E">
        <w:rPr>
          <w:rFonts w:eastAsia="Times New Roman" w:cstheme="minorHAnsi"/>
          <w:color w:val="222222"/>
          <w:kern w:val="0"/>
          <w:sz w:val="22"/>
          <w:lang w:val="en" w:eastAsia="en-US"/>
          <w14:ligatures w14:val="none"/>
        </w:rPr>
        <w:t>Willmar 320-214-3786</w:t>
      </w:r>
    </w:p>
    <w:p w14:paraId="5D06DB64" w14:textId="77777777" w:rsidR="002123F2" w:rsidRDefault="002123F2" w:rsidP="002123F2">
      <w:pPr>
        <w:spacing w:before="100" w:beforeAutospacing="1" w:after="100" w:afterAutospacing="1" w:line="276" w:lineRule="auto"/>
        <w:ind w:left="495" w:right="0"/>
        <w:rPr>
          <w:rFonts w:eastAsia="Times New Roman" w:cstheme="minorHAnsi"/>
          <w:color w:val="222222"/>
          <w:kern w:val="0"/>
          <w:sz w:val="22"/>
          <w:lang w:val="en" w:eastAsia="en-US"/>
          <w14:ligatures w14:val="none"/>
        </w:rPr>
      </w:pPr>
    </w:p>
    <w:p w14:paraId="6F72BBF4" w14:textId="572FBA31" w:rsidR="0070215E" w:rsidRPr="002123F2" w:rsidRDefault="0070215E" w:rsidP="002123F2">
      <w:pPr>
        <w:pStyle w:val="Heading3"/>
        <w:rPr>
          <w:rFonts w:cstheme="minorHAnsi"/>
          <w:color w:val="222222"/>
          <w:kern w:val="0"/>
          <w:sz w:val="22"/>
          <w:lang w:val="en"/>
          <w14:ligatures w14:val="none"/>
        </w:rPr>
      </w:pPr>
      <w:bookmarkStart w:id="16" w:name="_Toc103717330"/>
      <w:r w:rsidRPr="0070215E">
        <w:t>Reference:</w:t>
      </w:r>
      <w:bookmarkEnd w:id="16"/>
    </w:p>
    <w:p w14:paraId="1FA16C84" w14:textId="77777777" w:rsidR="0070215E" w:rsidRPr="0070215E" w:rsidRDefault="0070215E" w:rsidP="0070215E">
      <w:pPr>
        <w:spacing w:after="0"/>
        <w:ind w:left="0" w:right="0"/>
        <w:rPr>
          <w:rFonts w:eastAsia="Calibri" w:cstheme="minorHAnsi"/>
          <w:kern w:val="0"/>
          <w:sz w:val="22"/>
          <w:lang w:eastAsia="en-US"/>
          <w14:ligatures w14:val="none"/>
        </w:rPr>
      </w:pPr>
    </w:p>
    <w:p w14:paraId="0ECCB496" w14:textId="77777777" w:rsidR="0070215E" w:rsidRPr="0070215E" w:rsidRDefault="0070215E" w:rsidP="0070215E">
      <w:pPr>
        <w:spacing w:after="0"/>
        <w:ind w:left="0" w:right="0"/>
        <w:rPr>
          <w:rFonts w:eastAsia="Calibri" w:cstheme="minorHAnsi"/>
          <w:kern w:val="0"/>
          <w:sz w:val="22"/>
          <w:lang w:eastAsia="en-US"/>
          <w14:ligatures w14:val="none"/>
        </w:rPr>
      </w:pPr>
      <w:r w:rsidRPr="0070215E">
        <w:rPr>
          <w:rFonts w:eastAsia="Calibri" w:cstheme="minorHAnsi"/>
          <w:kern w:val="0"/>
          <w:sz w:val="22"/>
          <w:lang w:eastAsia="en-US"/>
          <w14:ligatures w14:val="none"/>
        </w:rPr>
        <w:t>Minnesota Pollution Control Agency</w:t>
      </w:r>
    </w:p>
    <w:p w14:paraId="5E388D8C" w14:textId="77777777" w:rsidR="0070215E" w:rsidRPr="0070215E" w:rsidRDefault="0070215E" w:rsidP="0070215E">
      <w:pPr>
        <w:spacing w:after="0"/>
        <w:ind w:left="0" w:right="0"/>
        <w:rPr>
          <w:rFonts w:eastAsia="Calibri" w:cstheme="minorHAnsi"/>
          <w:color w:val="0000FF"/>
          <w:kern w:val="0"/>
          <w:sz w:val="22"/>
          <w:u w:val="single"/>
          <w:lang w:eastAsia="en-US"/>
          <w14:ligatures w14:val="none"/>
        </w:rPr>
      </w:pPr>
      <w:hyperlink r:id="rId18" w:history="1">
        <w:r w:rsidRPr="0070215E">
          <w:rPr>
            <w:rFonts w:eastAsia="Calibri" w:cstheme="minorHAnsi"/>
            <w:color w:val="0000FF"/>
            <w:kern w:val="0"/>
            <w:sz w:val="22"/>
            <w:u w:val="single"/>
            <w:lang w:eastAsia="en-US"/>
            <w14:ligatures w14:val="none"/>
          </w:rPr>
          <w:t>https://www.pca.state.mn.us/waste/hazardous-waste</w:t>
        </w:r>
      </w:hyperlink>
    </w:p>
    <w:p w14:paraId="3A9B1065" w14:textId="77777777" w:rsidR="0070215E" w:rsidRPr="0070215E" w:rsidRDefault="0070215E" w:rsidP="0070215E">
      <w:pPr>
        <w:spacing w:after="0"/>
        <w:ind w:left="0" w:right="0"/>
        <w:rPr>
          <w:rFonts w:eastAsia="Calibri" w:cstheme="minorHAnsi"/>
          <w:color w:val="0000FF"/>
          <w:kern w:val="0"/>
          <w:sz w:val="22"/>
          <w:u w:val="single"/>
          <w:lang w:eastAsia="en-US"/>
          <w14:ligatures w14:val="none"/>
        </w:rPr>
      </w:pPr>
    </w:p>
    <w:p w14:paraId="69D0D90B" w14:textId="77777777" w:rsidR="0070215E" w:rsidRPr="0070215E" w:rsidRDefault="0070215E" w:rsidP="0070215E">
      <w:pPr>
        <w:spacing w:after="0"/>
        <w:ind w:left="0" w:right="0"/>
        <w:rPr>
          <w:rFonts w:eastAsia="Calibri" w:cstheme="minorHAnsi"/>
          <w:kern w:val="0"/>
          <w:sz w:val="22"/>
          <w:lang w:eastAsia="en-US"/>
          <w14:ligatures w14:val="none"/>
        </w:rPr>
      </w:pPr>
      <w:r w:rsidRPr="0070215E">
        <w:rPr>
          <w:rFonts w:eastAsia="Calibri" w:cstheme="minorHAnsi"/>
          <w:kern w:val="0"/>
          <w:sz w:val="22"/>
          <w:lang w:eastAsia="en-US"/>
          <w14:ligatures w14:val="none"/>
        </w:rPr>
        <w:t xml:space="preserve">CDC - </w:t>
      </w:r>
      <w:r w:rsidRPr="0070215E">
        <w:rPr>
          <w:rFonts w:eastAsia="Calibri" w:cstheme="minorHAnsi"/>
          <w:color w:val="333333"/>
          <w:kern w:val="0"/>
          <w:sz w:val="22"/>
          <w:lang w:eastAsia="en-US"/>
          <w14:ligatures w14:val="none"/>
        </w:rPr>
        <w:t>Procedures for Safe Handling and Management of Ebola-Associated Waste</w:t>
      </w:r>
    </w:p>
    <w:p w14:paraId="0C23597C" w14:textId="77777777" w:rsidR="0070215E" w:rsidRPr="0070215E" w:rsidRDefault="0070215E" w:rsidP="0070215E">
      <w:pPr>
        <w:spacing w:after="0"/>
        <w:ind w:left="0" w:right="0"/>
        <w:rPr>
          <w:rFonts w:eastAsia="Calibri" w:cstheme="minorHAnsi"/>
          <w:color w:val="000000"/>
          <w:kern w:val="0"/>
          <w:sz w:val="22"/>
          <w:lang w:eastAsia="en-US"/>
          <w14:ligatures w14:val="none"/>
        </w:rPr>
      </w:pPr>
      <w:hyperlink r:id="rId19" w:history="1">
        <w:r w:rsidRPr="0070215E">
          <w:rPr>
            <w:rFonts w:eastAsia="Calibri" w:cstheme="minorHAnsi"/>
            <w:color w:val="0000FF"/>
            <w:kern w:val="0"/>
            <w:sz w:val="22"/>
            <w:u w:val="single"/>
            <w:lang w:eastAsia="en-US"/>
            <w14:ligatures w14:val="none"/>
          </w:rPr>
          <w:t>https://www.cdc.gov/vhf/highly infectious disease/healthcare-us/cleaning/handling-waste.html</w:t>
        </w:r>
      </w:hyperlink>
    </w:p>
    <w:p w14:paraId="432C9F65" w14:textId="77777777" w:rsidR="0070215E" w:rsidRPr="0070215E" w:rsidRDefault="0070215E" w:rsidP="0070215E">
      <w:pPr>
        <w:spacing w:after="0"/>
        <w:ind w:left="1080" w:right="0"/>
        <w:rPr>
          <w:rFonts w:eastAsia="Calibri" w:cstheme="minorHAnsi"/>
          <w:color w:val="000000"/>
          <w:kern w:val="0"/>
          <w:sz w:val="22"/>
          <w:lang w:eastAsia="en-US"/>
          <w14:ligatures w14:val="none"/>
        </w:rPr>
      </w:pPr>
    </w:p>
    <w:p w14:paraId="21EBCC1F" w14:textId="77777777" w:rsidR="0070215E" w:rsidRPr="0070215E" w:rsidRDefault="0070215E" w:rsidP="0070215E">
      <w:pPr>
        <w:spacing w:after="0"/>
        <w:ind w:left="0" w:right="0"/>
        <w:rPr>
          <w:rFonts w:eastAsia="Calibri" w:cstheme="minorHAnsi"/>
          <w:color w:val="333333"/>
          <w:kern w:val="0"/>
          <w:sz w:val="22"/>
          <w:lang w:eastAsia="en-US"/>
          <w14:ligatures w14:val="none"/>
        </w:rPr>
      </w:pPr>
      <w:r w:rsidRPr="0070215E">
        <w:rPr>
          <w:rFonts w:eastAsia="Calibri" w:cstheme="minorHAnsi"/>
          <w:color w:val="333333"/>
          <w:kern w:val="0"/>
          <w:sz w:val="22"/>
          <w:lang w:eastAsia="en-US"/>
          <w14:ligatures w14:val="none"/>
        </w:rPr>
        <w:lastRenderedPageBreak/>
        <w:t xml:space="preserve">CDC - Guidance on Personal Protective Equipment (PPE) To Be Used </w:t>
      </w:r>
      <w:proofErr w:type="gramStart"/>
      <w:r w:rsidRPr="0070215E">
        <w:rPr>
          <w:rFonts w:eastAsia="Calibri" w:cstheme="minorHAnsi"/>
          <w:color w:val="333333"/>
          <w:kern w:val="0"/>
          <w:sz w:val="22"/>
          <w:lang w:eastAsia="en-US"/>
          <w14:ligatures w14:val="none"/>
        </w:rPr>
        <w:t>By</w:t>
      </w:r>
      <w:proofErr w:type="gramEnd"/>
      <w:r w:rsidRPr="0070215E">
        <w:rPr>
          <w:rFonts w:eastAsia="Calibri" w:cstheme="minorHAnsi"/>
          <w:color w:val="333333"/>
          <w:kern w:val="0"/>
          <w:sz w:val="22"/>
          <w:lang w:eastAsia="en-US"/>
          <w14:ligatures w14:val="none"/>
        </w:rPr>
        <w:t xml:space="preserve"> Healthcare Workers during Management of Patients with Confirmed Ebola or Persons under Investigation (PUIs) for Ebola who are Clinically Unstable or Have Bleeding, Vomiting, or Diarrhea in U.S. Hospitals, Including Procedures for Donning and Doffing PPE</w:t>
      </w:r>
    </w:p>
    <w:p w14:paraId="6E028059" w14:textId="77777777" w:rsidR="0070215E" w:rsidRPr="0070215E" w:rsidRDefault="0070215E" w:rsidP="0070215E">
      <w:pPr>
        <w:spacing w:after="0"/>
        <w:ind w:left="0" w:right="0"/>
        <w:rPr>
          <w:rFonts w:eastAsia="Calibri" w:cstheme="minorHAnsi"/>
          <w:color w:val="000000"/>
          <w:kern w:val="0"/>
          <w:sz w:val="22"/>
          <w:lang w:eastAsia="en-US"/>
          <w14:ligatures w14:val="none"/>
        </w:rPr>
      </w:pPr>
      <w:hyperlink r:id="rId20" w:history="1">
        <w:r w:rsidRPr="0070215E">
          <w:rPr>
            <w:rFonts w:eastAsia="Calibri" w:cstheme="minorHAnsi"/>
            <w:color w:val="0000FF"/>
            <w:kern w:val="0"/>
            <w:sz w:val="22"/>
            <w:u w:val="single"/>
            <w:lang w:eastAsia="en-US"/>
            <w14:ligatures w14:val="none"/>
          </w:rPr>
          <w:t>https://www.cdc.gov/vhf/ebola/healthcare-us/ppe/guidance.html</w:t>
        </w:r>
      </w:hyperlink>
    </w:p>
    <w:p w14:paraId="7102D449" w14:textId="77777777" w:rsidR="0070215E" w:rsidRPr="0070215E" w:rsidRDefault="0070215E" w:rsidP="0070215E">
      <w:pPr>
        <w:spacing w:after="0"/>
        <w:ind w:left="0" w:right="0"/>
        <w:rPr>
          <w:rFonts w:eastAsia="Calibri" w:cstheme="minorHAnsi"/>
          <w:color w:val="000000"/>
          <w:kern w:val="0"/>
          <w:sz w:val="22"/>
          <w:lang w:eastAsia="en-US"/>
          <w14:ligatures w14:val="none"/>
        </w:rPr>
      </w:pPr>
    </w:p>
    <w:p w14:paraId="1496DB66" w14:textId="77777777" w:rsidR="0070215E" w:rsidRPr="0070215E" w:rsidRDefault="0070215E" w:rsidP="0070215E">
      <w:pPr>
        <w:spacing w:after="0"/>
        <w:ind w:left="0" w:right="0"/>
        <w:rPr>
          <w:rFonts w:eastAsia="Calibri" w:cstheme="minorHAnsi"/>
          <w:kern w:val="0"/>
          <w:sz w:val="22"/>
          <w:lang w:eastAsia="en-US"/>
          <w14:ligatures w14:val="none"/>
        </w:rPr>
      </w:pPr>
      <w:r w:rsidRPr="0070215E">
        <w:rPr>
          <w:rFonts w:eastAsia="Calibri" w:cstheme="minorHAnsi"/>
          <w:color w:val="000000"/>
          <w:kern w:val="0"/>
          <w:sz w:val="22"/>
          <w:lang w:eastAsia="en-US"/>
          <w14:ligatures w14:val="none"/>
        </w:rPr>
        <w:t xml:space="preserve">CDC - </w:t>
      </w:r>
      <w:r w:rsidRPr="0070215E">
        <w:rPr>
          <w:rFonts w:eastAsia="Calibri" w:cstheme="minorHAnsi"/>
          <w:kern w:val="0"/>
          <w:sz w:val="22"/>
          <w:lang w:eastAsia="en-US"/>
          <w14:ligatures w14:val="none"/>
        </w:rPr>
        <w:t>Interim Guidance for Emergency Medical Services (EMS) Systems and 9-1-1 Public Safety Answering Points (PSAPs) for Management of Patients Under Investigation (PUIs) for Ebola Virus Disease (EVD) in the United States</w:t>
      </w:r>
    </w:p>
    <w:p w14:paraId="7A6B9AAA" w14:textId="77777777" w:rsidR="0070215E" w:rsidRPr="0070215E" w:rsidRDefault="0070215E" w:rsidP="0070215E">
      <w:pPr>
        <w:spacing w:after="0"/>
        <w:ind w:left="0" w:right="0"/>
        <w:rPr>
          <w:rFonts w:eastAsia="Calibri" w:cstheme="minorHAnsi"/>
          <w:color w:val="000000"/>
          <w:kern w:val="0"/>
          <w:sz w:val="22"/>
          <w:lang w:eastAsia="en-US"/>
          <w14:ligatures w14:val="none"/>
        </w:rPr>
      </w:pPr>
      <w:hyperlink r:id="rId21" w:history="1">
        <w:r w:rsidRPr="0070215E">
          <w:rPr>
            <w:rFonts w:eastAsia="Calibri" w:cstheme="minorHAnsi"/>
            <w:color w:val="0000FF"/>
            <w:kern w:val="0"/>
            <w:sz w:val="22"/>
            <w:u w:val="single"/>
            <w:lang w:eastAsia="en-US"/>
            <w14:ligatures w14:val="none"/>
          </w:rPr>
          <w:t>https://www.cdc.gov/vhf/ebola/healthcare-us/emergency-services/ems-systems.html</w:t>
        </w:r>
      </w:hyperlink>
    </w:p>
    <w:p w14:paraId="0D1957F5" w14:textId="77777777" w:rsidR="0070215E" w:rsidRPr="0070215E" w:rsidRDefault="0070215E" w:rsidP="0070215E">
      <w:pPr>
        <w:spacing w:after="0"/>
        <w:ind w:left="0" w:right="0"/>
        <w:rPr>
          <w:rFonts w:eastAsia="Calibri" w:cstheme="minorHAnsi"/>
          <w:color w:val="000000"/>
          <w:kern w:val="0"/>
          <w:sz w:val="22"/>
          <w:lang w:eastAsia="en-US"/>
          <w14:ligatures w14:val="none"/>
        </w:rPr>
      </w:pPr>
    </w:p>
    <w:p w14:paraId="20501092" w14:textId="77777777" w:rsidR="0070215E" w:rsidRPr="0070215E" w:rsidRDefault="0070215E" w:rsidP="0070215E">
      <w:pPr>
        <w:spacing w:after="0"/>
        <w:ind w:left="0" w:right="0"/>
        <w:rPr>
          <w:rFonts w:eastAsia="Calibri" w:cstheme="minorHAnsi"/>
          <w:color w:val="000000"/>
          <w:kern w:val="0"/>
          <w:sz w:val="22"/>
          <w:lang w:eastAsia="en-US"/>
          <w14:ligatures w14:val="none"/>
        </w:rPr>
      </w:pPr>
      <w:r w:rsidRPr="0070215E">
        <w:rPr>
          <w:rFonts w:eastAsia="Calibri" w:cstheme="minorHAnsi"/>
          <w:color w:val="000000"/>
          <w:kern w:val="0"/>
          <w:sz w:val="22"/>
          <w:lang w:eastAsia="en-US"/>
          <w14:ligatures w14:val="none"/>
        </w:rPr>
        <w:t>Interagency Board - Recommendations on Selection and Use of Personal Protective Equipment for First Responders against Ebola Exposure Hazards</w:t>
      </w:r>
    </w:p>
    <w:p w14:paraId="3A987E37" w14:textId="77777777" w:rsidR="0070215E" w:rsidRPr="0070215E" w:rsidRDefault="0070215E" w:rsidP="0070215E">
      <w:pPr>
        <w:spacing w:after="0"/>
        <w:ind w:left="0" w:right="0"/>
        <w:rPr>
          <w:rFonts w:eastAsia="Calibri" w:cstheme="minorHAnsi"/>
          <w:color w:val="000000"/>
          <w:kern w:val="0"/>
          <w:sz w:val="22"/>
          <w:lang w:eastAsia="en-US"/>
          <w14:ligatures w14:val="none"/>
        </w:rPr>
      </w:pPr>
      <w:hyperlink r:id="rId22" w:history="1">
        <w:r w:rsidRPr="0070215E">
          <w:rPr>
            <w:rFonts w:eastAsia="Calibri" w:cstheme="minorHAnsi"/>
            <w:color w:val="0000FF"/>
            <w:kern w:val="0"/>
            <w:sz w:val="22"/>
            <w:u w:val="single"/>
            <w:lang w:eastAsia="en-US"/>
            <w14:ligatures w14:val="none"/>
          </w:rPr>
          <w:t>https://iab.gov/Uploads/IAB%20Ebola%20PPE%20Recommendations_10%2024%2014.pdf</w:t>
        </w:r>
      </w:hyperlink>
    </w:p>
    <w:p w14:paraId="072EE145" w14:textId="77777777" w:rsidR="0070215E" w:rsidRPr="0070215E" w:rsidRDefault="0070215E" w:rsidP="0070215E">
      <w:pPr>
        <w:spacing w:after="0"/>
        <w:ind w:left="0" w:right="0"/>
        <w:rPr>
          <w:rFonts w:eastAsia="Calibri" w:cstheme="minorHAnsi"/>
          <w:color w:val="000000"/>
          <w:kern w:val="0"/>
          <w:sz w:val="22"/>
          <w:lang w:eastAsia="en-US"/>
          <w14:ligatures w14:val="none"/>
        </w:rPr>
      </w:pPr>
    </w:p>
    <w:p w14:paraId="2C84CD03" w14:textId="77777777" w:rsidR="0070215E" w:rsidRPr="0070215E" w:rsidRDefault="0070215E" w:rsidP="0070215E">
      <w:pPr>
        <w:spacing w:after="0"/>
        <w:ind w:left="0" w:right="0"/>
        <w:rPr>
          <w:rFonts w:eastAsia="Calibri" w:cstheme="minorHAnsi"/>
          <w:color w:val="000000"/>
          <w:kern w:val="0"/>
          <w:sz w:val="22"/>
          <w:lang w:eastAsia="en-US"/>
          <w14:ligatures w14:val="none"/>
        </w:rPr>
      </w:pPr>
    </w:p>
    <w:p w14:paraId="7DB9C7B9" w14:textId="77777777" w:rsidR="0070215E" w:rsidRPr="0070215E" w:rsidRDefault="0070215E" w:rsidP="0070215E">
      <w:pPr>
        <w:spacing w:after="0"/>
        <w:ind w:left="0" w:right="0"/>
        <w:rPr>
          <w:rFonts w:eastAsia="Calibri" w:cstheme="minorHAnsi"/>
          <w:color w:val="000000"/>
          <w:kern w:val="0"/>
          <w:sz w:val="22"/>
          <w:lang w:eastAsia="en-US"/>
          <w14:ligatures w14:val="none"/>
        </w:rPr>
      </w:pPr>
    </w:p>
    <w:p w14:paraId="5B300A07" w14:textId="77777777" w:rsidR="0070215E" w:rsidRPr="0070215E" w:rsidRDefault="0070215E" w:rsidP="0070215E">
      <w:pPr>
        <w:spacing w:after="0"/>
        <w:ind w:left="0" w:right="0"/>
        <w:rPr>
          <w:rFonts w:eastAsia="Calibri" w:cstheme="minorHAnsi"/>
          <w:color w:val="000000"/>
          <w:kern w:val="0"/>
          <w:sz w:val="22"/>
          <w:lang w:eastAsia="en-US"/>
          <w14:ligatures w14:val="none"/>
        </w:rPr>
      </w:pPr>
    </w:p>
    <w:p w14:paraId="5CFD9844" w14:textId="77777777" w:rsidR="0070215E" w:rsidRPr="0070215E" w:rsidRDefault="0070215E" w:rsidP="0070215E">
      <w:pPr>
        <w:spacing w:after="0"/>
        <w:ind w:left="0" w:right="0"/>
        <w:rPr>
          <w:rFonts w:eastAsia="Calibri" w:cstheme="minorHAnsi"/>
          <w:color w:val="000000"/>
          <w:kern w:val="0"/>
          <w:sz w:val="22"/>
          <w:lang w:eastAsia="en-US"/>
          <w14:ligatures w14:val="none"/>
        </w:rPr>
      </w:pPr>
    </w:p>
    <w:p w14:paraId="07C74DDC" w14:textId="77777777" w:rsidR="0070215E" w:rsidRPr="0070215E" w:rsidRDefault="0070215E" w:rsidP="0070215E">
      <w:pPr>
        <w:spacing w:after="0"/>
        <w:ind w:left="0" w:right="0"/>
        <w:rPr>
          <w:rFonts w:eastAsia="Calibri" w:cstheme="minorHAnsi"/>
          <w:kern w:val="0"/>
          <w:sz w:val="22"/>
          <w:lang w:eastAsia="en-US"/>
          <w14:ligatures w14:val="none"/>
        </w:rPr>
      </w:pPr>
    </w:p>
    <w:p w14:paraId="726A748B" w14:textId="17039B07" w:rsidR="00CB6975" w:rsidRPr="0070215E" w:rsidRDefault="00CB6975" w:rsidP="0070215E">
      <w:pPr>
        <w:spacing w:before="120"/>
        <w:ind w:left="0" w:right="0"/>
        <w:jc w:val="both"/>
        <w:rPr>
          <w:rFonts w:cstheme="minorHAnsi"/>
          <w:sz w:val="22"/>
        </w:rPr>
      </w:pPr>
    </w:p>
    <w:sectPr w:rsidR="00CB6975" w:rsidRPr="0070215E" w:rsidSect="00CB6975">
      <w:headerReference w:type="default" r:id="rId23"/>
      <w:footerReference w:type="default" r:id="rId24"/>
      <w:pgSz w:w="12240" w:h="15840"/>
      <w:pgMar w:top="1530" w:right="1339" w:bottom="1238" w:left="1325" w:header="95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B464" w14:textId="77777777" w:rsidR="00504C73" w:rsidRDefault="00504C73">
      <w:r>
        <w:separator/>
      </w:r>
    </w:p>
    <w:p w14:paraId="5F2747E1" w14:textId="77777777" w:rsidR="00504C73" w:rsidRDefault="00504C73"/>
  </w:endnote>
  <w:endnote w:type="continuationSeparator" w:id="0">
    <w:p w14:paraId="12FDA9A1" w14:textId="77777777" w:rsidR="00504C73" w:rsidRDefault="00504C73">
      <w:r>
        <w:continuationSeparator/>
      </w:r>
    </w:p>
    <w:p w14:paraId="28614B8D" w14:textId="77777777" w:rsidR="00504C73" w:rsidRDefault="00504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778627"/>
      <w:docPartObj>
        <w:docPartGallery w:val="Page Numbers (Bottom of Page)"/>
        <w:docPartUnique/>
      </w:docPartObj>
    </w:sdtPr>
    <w:sdtEndPr>
      <w:rPr>
        <w:noProof/>
      </w:rPr>
    </w:sdtEndPr>
    <w:sdtContent>
      <w:p w14:paraId="1EF4FC9E" w14:textId="0EBD5708" w:rsidR="009E7127" w:rsidRDefault="009E71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5CD25" w14:textId="77777777" w:rsidR="009E7127" w:rsidRDefault="009E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034D" w14:textId="77777777" w:rsidR="00504C73" w:rsidRDefault="00504C73">
      <w:r>
        <w:separator/>
      </w:r>
    </w:p>
    <w:p w14:paraId="4EBA57AB" w14:textId="77777777" w:rsidR="00504C73" w:rsidRDefault="00504C73"/>
  </w:footnote>
  <w:footnote w:type="continuationSeparator" w:id="0">
    <w:p w14:paraId="7D1A8B76" w14:textId="77777777" w:rsidR="00504C73" w:rsidRDefault="00504C73">
      <w:r>
        <w:continuationSeparator/>
      </w:r>
    </w:p>
    <w:p w14:paraId="7E653290" w14:textId="77777777" w:rsidR="00504C73" w:rsidRDefault="00504C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492" w14:textId="32307AE8" w:rsidR="009E7127" w:rsidRDefault="009E7127">
    <w:pPr>
      <w:pStyle w:val="Header"/>
    </w:pPr>
    <w:r>
      <w:t>CMHPC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495"/>
    <w:multiLevelType w:val="hybridMultilevel"/>
    <w:tmpl w:val="BEF8C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EB0510"/>
    <w:multiLevelType w:val="hybridMultilevel"/>
    <w:tmpl w:val="4140AEF4"/>
    <w:lvl w:ilvl="0" w:tplc="E1A2C79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40193"/>
    <w:multiLevelType w:val="hybridMultilevel"/>
    <w:tmpl w:val="19089FBE"/>
    <w:lvl w:ilvl="0" w:tplc="04090001">
      <w:start w:val="1"/>
      <w:numFmt w:val="bullet"/>
      <w:lvlText w:val=""/>
      <w:lvlJc w:val="left"/>
      <w:pPr>
        <w:ind w:left="1440" w:hanging="360"/>
      </w:pPr>
      <w:rPr>
        <w:rFonts w:ascii="Symbol" w:hAnsi="Symbol" w:hint="default"/>
      </w:rPr>
    </w:lvl>
    <w:lvl w:ilvl="1" w:tplc="5C5A52FC">
      <w:numFmt w:val="bullet"/>
      <w:lvlText w:val="•"/>
      <w:lvlJc w:val="left"/>
      <w:pPr>
        <w:ind w:left="2160" w:hanging="360"/>
      </w:pPr>
      <w:rPr>
        <w:rFonts w:ascii="Calibri" w:eastAsia="Calibr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D6539"/>
    <w:multiLevelType w:val="hybridMultilevel"/>
    <w:tmpl w:val="F39665BA"/>
    <w:lvl w:ilvl="0" w:tplc="ED92908E">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ED34E5"/>
    <w:multiLevelType w:val="hybridMultilevel"/>
    <w:tmpl w:val="1CEA7CA6"/>
    <w:lvl w:ilvl="0" w:tplc="E1A2C79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017B72"/>
    <w:multiLevelType w:val="hybridMultilevel"/>
    <w:tmpl w:val="64160548"/>
    <w:lvl w:ilvl="0" w:tplc="ACF842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104BE"/>
    <w:multiLevelType w:val="hybridMultilevel"/>
    <w:tmpl w:val="1C1A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A72B0"/>
    <w:multiLevelType w:val="hybridMultilevel"/>
    <w:tmpl w:val="7E26EF32"/>
    <w:lvl w:ilvl="0" w:tplc="F3103CA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4A1013"/>
    <w:multiLevelType w:val="hybridMultilevel"/>
    <w:tmpl w:val="B3461194"/>
    <w:lvl w:ilvl="0" w:tplc="E064F4EE">
      <w:start w:val="1"/>
      <w:numFmt w:val="bullet"/>
      <w:lvlText w:val=""/>
      <w:lvlJc w:val="left"/>
      <w:pPr>
        <w:ind w:left="720" w:hanging="360"/>
      </w:pPr>
      <w:rPr>
        <w:rFonts w:ascii="Symbol" w:hAnsi="Symbol" w:hint="default"/>
        <w:color w:val="660033"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C4FC8"/>
    <w:multiLevelType w:val="hybridMultilevel"/>
    <w:tmpl w:val="259054A4"/>
    <w:lvl w:ilvl="0" w:tplc="E1A2C79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C77B4F"/>
    <w:multiLevelType w:val="hybridMultilevel"/>
    <w:tmpl w:val="CA06C778"/>
    <w:lvl w:ilvl="0" w:tplc="E1A2C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D16E3"/>
    <w:multiLevelType w:val="multilevel"/>
    <w:tmpl w:val="7764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2E5CB5"/>
    <w:multiLevelType w:val="hybridMultilevel"/>
    <w:tmpl w:val="A666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AE0B67"/>
    <w:multiLevelType w:val="hybridMultilevel"/>
    <w:tmpl w:val="0468662E"/>
    <w:lvl w:ilvl="0" w:tplc="92AEC87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F8158E"/>
    <w:multiLevelType w:val="hybridMultilevel"/>
    <w:tmpl w:val="273E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27AFC"/>
    <w:multiLevelType w:val="multilevel"/>
    <w:tmpl w:val="BE0E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CD5458"/>
    <w:multiLevelType w:val="hybridMultilevel"/>
    <w:tmpl w:val="FB78B038"/>
    <w:lvl w:ilvl="0" w:tplc="E1A2C79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CB741E5"/>
    <w:multiLevelType w:val="hybridMultilevel"/>
    <w:tmpl w:val="397A7F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num w:numId="1" w16cid:durableId="176426493">
    <w:abstractNumId w:val="3"/>
  </w:num>
  <w:num w:numId="2" w16cid:durableId="608779527">
    <w:abstractNumId w:val="6"/>
  </w:num>
  <w:num w:numId="3" w16cid:durableId="396559562">
    <w:abstractNumId w:val="13"/>
  </w:num>
  <w:num w:numId="4" w16cid:durableId="723600385">
    <w:abstractNumId w:val="18"/>
  </w:num>
  <w:num w:numId="5" w16cid:durableId="1107893722">
    <w:abstractNumId w:val="15"/>
  </w:num>
  <w:num w:numId="6" w16cid:durableId="2066876610">
    <w:abstractNumId w:val="7"/>
  </w:num>
  <w:num w:numId="7" w16cid:durableId="1958826640">
    <w:abstractNumId w:val="9"/>
  </w:num>
  <w:num w:numId="8" w16cid:durableId="461390165">
    <w:abstractNumId w:val="14"/>
  </w:num>
  <w:num w:numId="9" w16cid:durableId="332268958">
    <w:abstractNumId w:val="16"/>
  </w:num>
  <w:num w:numId="10" w16cid:durableId="1033967463">
    <w:abstractNumId w:val="1"/>
  </w:num>
  <w:num w:numId="11" w16cid:durableId="298658077">
    <w:abstractNumId w:val="10"/>
  </w:num>
  <w:num w:numId="12" w16cid:durableId="121189255">
    <w:abstractNumId w:val="5"/>
  </w:num>
  <w:num w:numId="13" w16cid:durableId="270360290">
    <w:abstractNumId w:val="17"/>
  </w:num>
  <w:num w:numId="14" w16cid:durableId="1429959206">
    <w:abstractNumId w:val="11"/>
  </w:num>
  <w:num w:numId="15" w16cid:durableId="1920363821">
    <w:abstractNumId w:val="4"/>
  </w:num>
  <w:num w:numId="16" w16cid:durableId="945890697">
    <w:abstractNumId w:val="8"/>
  </w:num>
  <w:num w:numId="17" w16cid:durableId="526482611">
    <w:abstractNumId w:val="12"/>
  </w:num>
  <w:num w:numId="18" w16cid:durableId="1748763827">
    <w:abstractNumId w:val="2"/>
  </w:num>
  <w:num w:numId="19" w16cid:durableId="48937177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0425E"/>
    <w:rsid w:val="00033C61"/>
    <w:rsid w:val="0006297D"/>
    <w:rsid w:val="00081478"/>
    <w:rsid w:val="000A2AD6"/>
    <w:rsid w:val="000A3177"/>
    <w:rsid w:val="000A7002"/>
    <w:rsid w:val="000B42FC"/>
    <w:rsid w:val="000C505F"/>
    <w:rsid w:val="000E46C0"/>
    <w:rsid w:val="00103D8A"/>
    <w:rsid w:val="00115477"/>
    <w:rsid w:val="00116A1A"/>
    <w:rsid w:val="00120478"/>
    <w:rsid w:val="00123004"/>
    <w:rsid w:val="00127BC0"/>
    <w:rsid w:val="00133969"/>
    <w:rsid w:val="00137ED0"/>
    <w:rsid w:val="0018204A"/>
    <w:rsid w:val="00182738"/>
    <w:rsid w:val="001D4CAC"/>
    <w:rsid w:val="001E61D6"/>
    <w:rsid w:val="001F0B39"/>
    <w:rsid w:val="002123F2"/>
    <w:rsid w:val="00246F68"/>
    <w:rsid w:val="002671C0"/>
    <w:rsid w:val="0027159A"/>
    <w:rsid w:val="0027589B"/>
    <w:rsid w:val="0028550B"/>
    <w:rsid w:val="002A008B"/>
    <w:rsid w:val="002A3D65"/>
    <w:rsid w:val="002E6E28"/>
    <w:rsid w:val="002F73E7"/>
    <w:rsid w:val="0031792E"/>
    <w:rsid w:val="00342094"/>
    <w:rsid w:val="003A09FC"/>
    <w:rsid w:val="003B2CC9"/>
    <w:rsid w:val="003E5E97"/>
    <w:rsid w:val="004037BD"/>
    <w:rsid w:val="004055D3"/>
    <w:rsid w:val="004132C0"/>
    <w:rsid w:val="004465CF"/>
    <w:rsid w:val="004548F7"/>
    <w:rsid w:val="00495986"/>
    <w:rsid w:val="004B2E9A"/>
    <w:rsid w:val="004D66A5"/>
    <w:rsid w:val="004D6E63"/>
    <w:rsid w:val="00504C73"/>
    <w:rsid w:val="00515E5A"/>
    <w:rsid w:val="005209A5"/>
    <w:rsid w:val="0052711A"/>
    <w:rsid w:val="00540A95"/>
    <w:rsid w:val="0054324F"/>
    <w:rsid w:val="00555ECE"/>
    <w:rsid w:val="00582C9A"/>
    <w:rsid w:val="00597DC7"/>
    <w:rsid w:val="005A17ED"/>
    <w:rsid w:val="005B0C5F"/>
    <w:rsid w:val="005B6041"/>
    <w:rsid w:val="005D3B38"/>
    <w:rsid w:val="005E0493"/>
    <w:rsid w:val="006120F3"/>
    <w:rsid w:val="006502A8"/>
    <w:rsid w:val="00686A37"/>
    <w:rsid w:val="0069750E"/>
    <w:rsid w:val="006A05E1"/>
    <w:rsid w:val="006B23CD"/>
    <w:rsid w:val="006C544A"/>
    <w:rsid w:val="006D4EC7"/>
    <w:rsid w:val="006F36E2"/>
    <w:rsid w:val="0070215E"/>
    <w:rsid w:val="007035F9"/>
    <w:rsid w:val="00742255"/>
    <w:rsid w:val="0075499D"/>
    <w:rsid w:val="00756488"/>
    <w:rsid w:val="00774F1E"/>
    <w:rsid w:val="0078350C"/>
    <w:rsid w:val="007B2CD5"/>
    <w:rsid w:val="007C6C9A"/>
    <w:rsid w:val="007E24F0"/>
    <w:rsid w:val="007E5787"/>
    <w:rsid w:val="007F2CF5"/>
    <w:rsid w:val="00806968"/>
    <w:rsid w:val="0081624A"/>
    <w:rsid w:val="00824A48"/>
    <w:rsid w:val="0084060C"/>
    <w:rsid w:val="00841BFF"/>
    <w:rsid w:val="00852E49"/>
    <w:rsid w:val="0085463A"/>
    <w:rsid w:val="00874108"/>
    <w:rsid w:val="008827BA"/>
    <w:rsid w:val="008878AF"/>
    <w:rsid w:val="00890654"/>
    <w:rsid w:val="008A2F9B"/>
    <w:rsid w:val="008B438E"/>
    <w:rsid w:val="008B6F13"/>
    <w:rsid w:val="008D242D"/>
    <w:rsid w:val="008E02A6"/>
    <w:rsid w:val="008F52C1"/>
    <w:rsid w:val="00901BCA"/>
    <w:rsid w:val="00981A3B"/>
    <w:rsid w:val="009A29C3"/>
    <w:rsid w:val="009A6E33"/>
    <w:rsid w:val="009B238B"/>
    <w:rsid w:val="009E7127"/>
    <w:rsid w:val="009F0A72"/>
    <w:rsid w:val="009F7F5A"/>
    <w:rsid w:val="00A10F5E"/>
    <w:rsid w:val="00A13456"/>
    <w:rsid w:val="00A35EDF"/>
    <w:rsid w:val="00A56F40"/>
    <w:rsid w:val="00A862BD"/>
    <w:rsid w:val="00AA124B"/>
    <w:rsid w:val="00AB1EC8"/>
    <w:rsid w:val="00AB4B9D"/>
    <w:rsid w:val="00B05A54"/>
    <w:rsid w:val="00B2594F"/>
    <w:rsid w:val="00BA7EB5"/>
    <w:rsid w:val="00BC76B2"/>
    <w:rsid w:val="00BD1B54"/>
    <w:rsid w:val="00BE3756"/>
    <w:rsid w:val="00BE4F06"/>
    <w:rsid w:val="00C26293"/>
    <w:rsid w:val="00C35C47"/>
    <w:rsid w:val="00C47C2A"/>
    <w:rsid w:val="00C746C0"/>
    <w:rsid w:val="00C779E3"/>
    <w:rsid w:val="00C91B01"/>
    <w:rsid w:val="00CA5F09"/>
    <w:rsid w:val="00CB6975"/>
    <w:rsid w:val="00CC5C7F"/>
    <w:rsid w:val="00CD78CE"/>
    <w:rsid w:val="00D12028"/>
    <w:rsid w:val="00D254B6"/>
    <w:rsid w:val="00D272CA"/>
    <w:rsid w:val="00D56573"/>
    <w:rsid w:val="00D64886"/>
    <w:rsid w:val="00DB1258"/>
    <w:rsid w:val="00DE1287"/>
    <w:rsid w:val="00DE44AF"/>
    <w:rsid w:val="00DF738A"/>
    <w:rsid w:val="00E550A1"/>
    <w:rsid w:val="00E70A2E"/>
    <w:rsid w:val="00E8458C"/>
    <w:rsid w:val="00E84637"/>
    <w:rsid w:val="00EA252D"/>
    <w:rsid w:val="00EE643A"/>
    <w:rsid w:val="00F115E5"/>
    <w:rsid w:val="00F145AD"/>
    <w:rsid w:val="00F248CA"/>
    <w:rsid w:val="00F7413D"/>
    <w:rsid w:val="00FA4913"/>
    <w:rsid w:val="00FA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87"/>
    <w:pPr>
      <w:spacing w:after="120" w:line="240" w:lineRule="auto"/>
      <w:ind w:left="72" w:right="72"/>
    </w:pPr>
    <w:rPr>
      <w:sz w:val="24"/>
    </w:rPr>
  </w:style>
  <w:style w:type="paragraph" w:styleId="Heading1">
    <w:name w:val="heading 1"/>
    <w:basedOn w:val="Normal"/>
    <w:next w:val="Normal"/>
    <w:link w:val="Heading1Char"/>
    <w:uiPriority w:val="1"/>
    <w:qFormat/>
    <w:rsid w:val="00C26293"/>
    <w:pPr>
      <w:keepNext/>
      <w:keepLines/>
      <w:spacing w:after="40"/>
      <w:outlineLvl w:val="0"/>
    </w:pPr>
    <w:rPr>
      <w:rFonts w:asciiTheme="majorHAnsi" w:eastAsiaTheme="majorEastAsia" w:hAnsiTheme="majorHAnsi" w:cstheme="majorBidi"/>
      <w:caps/>
      <w:color w:val="004C00" w:themeColor="accent3" w:themeShade="BF"/>
      <w:sz w:val="28"/>
      <w:szCs w:val="28"/>
    </w:rPr>
  </w:style>
  <w:style w:type="paragraph" w:styleId="Heading2">
    <w:name w:val="heading 2"/>
    <w:basedOn w:val="Normal"/>
    <w:next w:val="Normal"/>
    <w:link w:val="Heading2Char"/>
    <w:uiPriority w:val="1"/>
    <w:qFormat/>
    <w:rsid w:val="00CA5F09"/>
    <w:pPr>
      <w:keepNext/>
      <w:keepLines/>
      <w:spacing w:before="120"/>
      <w:outlineLvl w:val="1"/>
    </w:pPr>
    <w:rPr>
      <w:rFonts w:asciiTheme="majorHAnsi" w:eastAsiaTheme="majorEastAsia" w:hAnsiTheme="majorHAnsi" w:cstheme="majorBidi"/>
      <w:b/>
      <w:caps/>
      <w:color w:val="990033" w:themeColor="accent2"/>
      <w:szCs w:val="24"/>
    </w:rPr>
  </w:style>
  <w:style w:type="paragraph" w:styleId="Heading3">
    <w:name w:val="heading 3"/>
    <w:basedOn w:val="Normal"/>
    <w:next w:val="Normal"/>
    <w:link w:val="Heading3Char"/>
    <w:autoRedefine/>
    <w:uiPriority w:val="1"/>
    <w:qFormat/>
    <w:rsid w:val="0070215E"/>
    <w:pPr>
      <w:keepNext/>
      <w:keepLines/>
      <w:spacing w:before="120"/>
      <w:ind w:left="0"/>
      <w:outlineLvl w:val="2"/>
    </w:pPr>
    <w:rPr>
      <w:rFonts w:asciiTheme="majorHAnsi" w:eastAsia="Calibri" w:hAnsiTheme="majorHAnsi" w:cstheme="majorBidi"/>
      <w:b/>
      <w:caps/>
      <w:color w:val="4BACC6"/>
      <w:lang w:eastAsia="en-US"/>
    </w:rPr>
  </w:style>
  <w:style w:type="paragraph" w:styleId="Heading4">
    <w:name w:val="heading 4"/>
    <w:basedOn w:val="Normal"/>
    <w:next w:val="Normal"/>
    <w:link w:val="Heading4Char"/>
    <w:uiPriority w:val="9"/>
    <w:unhideWhenUsed/>
    <w:qFormat/>
    <w:rsid w:val="00CA5F09"/>
    <w:pPr>
      <w:keepNext/>
      <w:keepLines/>
      <w:spacing w:before="120" w:after="0"/>
      <w:outlineLvl w:val="3"/>
    </w:pPr>
    <w:rPr>
      <w:rFonts w:asciiTheme="majorHAnsi" w:eastAsiaTheme="majorEastAsia" w:hAnsiTheme="majorHAnsi" w:cstheme="majorBidi"/>
      <w:b/>
      <w:caps/>
      <w:color w:val="720026" w:themeColor="accent2" w:themeShade="BF"/>
      <w:sz w:val="22"/>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293"/>
    <w:rPr>
      <w:rFonts w:asciiTheme="majorHAnsi" w:eastAsiaTheme="majorEastAsia" w:hAnsiTheme="majorHAnsi" w:cstheme="majorBidi"/>
      <w:caps/>
      <w:color w:val="004C00" w:themeColor="accent3" w:themeShade="BF"/>
      <w:sz w:val="28"/>
      <w:szCs w:val="28"/>
    </w:rPr>
  </w:style>
  <w:style w:type="character" w:customStyle="1" w:styleId="Heading2Char">
    <w:name w:val="Heading 2 Char"/>
    <w:basedOn w:val="DefaultParagraphFont"/>
    <w:link w:val="Heading2"/>
    <w:uiPriority w:val="1"/>
    <w:rsid w:val="00CA5F09"/>
    <w:rPr>
      <w:rFonts w:asciiTheme="majorHAnsi" w:eastAsiaTheme="majorEastAsia" w:hAnsiTheme="majorHAnsi" w:cstheme="majorBidi"/>
      <w:b/>
      <w:caps/>
      <w:color w:val="990033" w:themeColor="accent2"/>
      <w:sz w:val="24"/>
      <w:szCs w:val="24"/>
    </w:rPr>
  </w:style>
  <w:style w:type="character" w:customStyle="1" w:styleId="Heading3Char">
    <w:name w:val="Heading 3 Char"/>
    <w:basedOn w:val="DefaultParagraphFont"/>
    <w:link w:val="Heading3"/>
    <w:uiPriority w:val="1"/>
    <w:rsid w:val="0070215E"/>
    <w:rPr>
      <w:rFonts w:asciiTheme="majorHAnsi" w:eastAsia="Calibri" w:hAnsiTheme="majorHAnsi" w:cstheme="majorBidi"/>
      <w:b/>
      <w:caps/>
      <w:color w:val="4BACC6"/>
      <w:sz w:val="24"/>
      <w:lang w:eastAsia="en-US"/>
    </w:rPr>
  </w:style>
  <w:style w:type="character" w:customStyle="1" w:styleId="Heading4Char">
    <w:name w:val="Heading 4 Char"/>
    <w:basedOn w:val="DefaultParagraphFont"/>
    <w:link w:val="Heading4"/>
    <w:uiPriority w:val="9"/>
    <w:rsid w:val="00CA5F09"/>
    <w:rPr>
      <w:rFonts w:asciiTheme="majorHAnsi" w:eastAsiaTheme="majorEastAsia" w:hAnsiTheme="majorHAnsi" w:cstheme="majorBidi"/>
      <w:b/>
      <w:caps/>
      <w:color w:val="720026" w:themeColor="accent2" w:themeShade="BF"/>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990033"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990033"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ListTable7Colorful-Accent1">
    <w:name w:val="List Table 7 Colorful Accent 1"/>
    <w:basedOn w:val="TableNormal"/>
    <w:uiPriority w:val="52"/>
    <w:pPr>
      <w:spacing w:after="0" w:line="240" w:lineRule="auto"/>
    </w:pPr>
    <w:rPr>
      <w:color w:val="374C80"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5795F3" w:themeColor="accent6" w:themeTint="99"/>
        <w:left w:val="single" w:sz="4" w:space="0" w:color="5795F3" w:themeColor="accent6" w:themeTint="99"/>
        <w:bottom w:val="single" w:sz="4" w:space="0" w:color="5795F3" w:themeColor="accent6" w:themeTint="99"/>
        <w:right w:val="single" w:sz="4" w:space="0" w:color="5795F3" w:themeColor="accent6" w:themeTint="99"/>
        <w:insideH w:val="single" w:sz="4" w:space="0" w:color="5795F3" w:themeColor="accent6" w:themeTint="99"/>
        <w:insideV w:val="single" w:sz="4" w:space="0" w:color="5795F3" w:themeColor="accent6" w:themeTint="99"/>
      </w:tblBorders>
      <w:tblCellMar>
        <w:top w:w="29" w:type="dxa"/>
        <w:bottom w:w="29" w:type="dxa"/>
      </w:tblCellMar>
    </w:tblPr>
    <w:tblStylePr w:type="firstRow">
      <w:rPr>
        <w:b/>
        <w:bCs/>
        <w:color w:val="FFFFFF" w:themeColor="background1"/>
      </w:rPr>
      <w:tblPr/>
      <w:tcPr>
        <w:tcBorders>
          <w:top w:val="single" w:sz="4" w:space="0" w:color="0E57C4" w:themeColor="accent6"/>
          <w:left w:val="single" w:sz="4" w:space="0" w:color="0E57C4" w:themeColor="accent6"/>
          <w:bottom w:val="single" w:sz="4" w:space="0" w:color="0E57C4" w:themeColor="accent6"/>
          <w:right w:val="single" w:sz="4" w:space="0" w:color="0E57C4" w:themeColor="accent6"/>
          <w:insideH w:val="nil"/>
          <w:insideV w:val="nil"/>
        </w:tcBorders>
        <w:shd w:val="clear" w:color="auto" w:fill="0E57C4" w:themeFill="accent6"/>
      </w:tcPr>
    </w:tblStylePr>
    <w:tblStylePr w:type="lastRow">
      <w:rPr>
        <w:b/>
        <w:bCs/>
      </w:rPr>
      <w:tblPr/>
      <w:tcPr>
        <w:tcBorders>
          <w:top w:val="double" w:sz="4" w:space="0" w:color="0E57C4" w:themeColor="accent6"/>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F2870" w:themeColor="accent2" w:themeTint="99"/>
        </w:tcBorders>
      </w:tcPr>
    </w:tblStylePr>
    <w:tblStylePr w:type="lastRow">
      <w:rPr>
        <w:b/>
        <w:bCs/>
      </w:rPr>
      <w:tblPr/>
      <w:tcPr>
        <w:tcBorders>
          <w:top w:val="sing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insideV w:val="single" w:sz="4" w:space="0" w:color="FF2870" w:themeColor="accent2" w:themeTint="99"/>
      </w:tblBorders>
      <w:tblCellMar>
        <w:top w:w="29" w:type="dxa"/>
        <w:bottom w:w="29" w:type="dxa"/>
      </w:tblCellMar>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insideV w:val="nil"/>
        </w:tcBorders>
        <w:shd w:val="clear" w:color="auto" w:fill="990033" w:themeFill="accent2"/>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8FB8F7" w:themeColor="accent6" w:themeTint="66"/>
        <w:left w:val="single" w:sz="4" w:space="0" w:color="8FB8F7" w:themeColor="accent6" w:themeTint="66"/>
        <w:bottom w:val="single" w:sz="4" w:space="0" w:color="8FB8F7" w:themeColor="accent6" w:themeTint="66"/>
        <w:right w:val="single" w:sz="4" w:space="0" w:color="8FB8F7" w:themeColor="accent6" w:themeTint="66"/>
        <w:insideH w:val="single" w:sz="4" w:space="0" w:color="8FB8F7" w:themeColor="accent6" w:themeTint="66"/>
        <w:insideV w:val="single" w:sz="4" w:space="0" w:color="8FB8F7" w:themeColor="accent6" w:themeTint="66"/>
      </w:tblBorders>
      <w:tblCellMar>
        <w:top w:w="29" w:type="dxa"/>
        <w:bottom w:w="29" w:type="dxa"/>
      </w:tblCellMar>
    </w:tblPr>
    <w:tblStylePr w:type="firstRow">
      <w:rPr>
        <w:b/>
        <w:bCs/>
      </w:rPr>
      <w:tblPr/>
      <w:tcPr>
        <w:tcBorders>
          <w:bottom w:val="single" w:sz="12" w:space="0" w:color="5795F3" w:themeColor="accent6" w:themeTint="99"/>
        </w:tcBorders>
      </w:tcPr>
    </w:tblStylePr>
    <w:tblStylePr w:type="lastRow">
      <w:rPr>
        <w:b/>
        <w:bCs/>
      </w:rPr>
      <w:tblPr/>
      <w:tcPr>
        <w:tcBorders>
          <w:top w:val="double" w:sz="2" w:space="0" w:color="5795F3"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5795F3" w:themeColor="accent6" w:themeTint="99"/>
        </w:tcBorders>
      </w:tcPr>
    </w:tblStylePr>
    <w:tblStylePr w:type="lastRow">
      <w:rPr>
        <w:b/>
        <w:bCs/>
      </w:rPr>
      <w:tblPr/>
      <w:tcPr>
        <w:tcBorders>
          <w:top w:val="single" w:sz="4" w:space="0" w:color="5795F3" w:themeColor="accent6" w:themeTint="99"/>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paragraph" w:styleId="Header">
    <w:name w:val="header"/>
    <w:basedOn w:val="Normal"/>
    <w:link w:val="HeaderChar"/>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4A66AC" w:themeColor="accent1"/>
      </w:tblBorders>
      <w:tblCellMar>
        <w:top w:w="29" w:type="dxa"/>
        <w:bottom w:w="29"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CellMar>
        <w:top w:w="29" w:type="dxa"/>
        <w:bottom w:w="29" w:type="dxa"/>
      </w:tblCellMar>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Logo">
    <w:name w:val="Logo"/>
    <w:basedOn w:val="Normal"/>
    <w:uiPriority w:val="1"/>
    <w:qFormat/>
    <w:pPr>
      <w:spacing w:after="1440"/>
      <w:jc w:val="right"/>
    </w:pPr>
    <w:rPr>
      <w:noProof/>
      <w:color w:val="1B1D3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0AFF0A" w:themeColor="accent3" w:themeTint="99"/>
        <w:left w:val="single" w:sz="4" w:space="0" w:color="0AFF0A" w:themeColor="accent3" w:themeTint="99"/>
        <w:bottom w:val="single" w:sz="4" w:space="0" w:color="0AFF0A" w:themeColor="accent3" w:themeTint="99"/>
        <w:right w:val="single" w:sz="4" w:space="0" w:color="0AFF0A" w:themeColor="accent3" w:themeTint="99"/>
        <w:insideH w:val="single" w:sz="4" w:space="0" w:color="0AFF0A" w:themeColor="accent3" w:themeTint="99"/>
        <w:insideV w:val="single" w:sz="4" w:space="0" w:color="0AFF0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AD" w:themeFill="accent3" w:themeFillTint="33"/>
      </w:tcPr>
    </w:tblStylePr>
    <w:tblStylePr w:type="band1Horz">
      <w:tblPr/>
      <w:tcPr>
        <w:shd w:val="clear" w:color="auto" w:fill="ADFFAD" w:themeFill="accent3" w:themeFillTint="33"/>
      </w:tcPr>
    </w:tblStylePr>
    <w:tblStylePr w:type="neCell">
      <w:tblPr/>
      <w:tcPr>
        <w:tcBorders>
          <w:bottom w:val="single" w:sz="4" w:space="0" w:color="0AFF0A" w:themeColor="accent3" w:themeTint="99"/>
        </w:tcBorders>
      </w:tcPr>
    </w:tblStylePr>
    <w:tblStylePr w:type="nwCell">
      <w:tblPr/>
      <w:tcPr>
        <w:tcBorders>
          <w:bottom w:val="single" w:sz="4" w:space="0" w:color="0AFF0A" w:themeColor="accent3" w:themeTint="99"/>
        </w:tcBorders>
      </w:tcPr>
    </w:tblStylePr>
    <w:tblStylePr w:type="seCell">
      <w:tblPr/>
      <w:tcPr>
        <w:tcBorders>
          <w:top w:val="single" w:sz="4" w:space="0" w:color="0AFF0A" w:themeColor="accent3" w:themeTint="99"/>
        </w:tcBorders>
      </w:tcPr>
    </w:tblStylePr>
    <w:tblStylePr w:type="swCell">
      <w:tblPr/>
      <w:tcPr>
        <w:tcBorders>
          <w:top w:val="single" w:sz="4" w:space="0" w:color="0AFF0A"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A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00" w:themeFill="accent3"/>
      </w:tcPr>
    </w:tblStylePr>
    <w:tblStylePr w:type="band1Vert">
      <w:tblPr/>
      <w:tcPr>
        <w:shd w:val="clear" w:color="auto" w:fill="5BFF5B" w:themeFill="accent3" w:themeFillTint="66"/>
      </w:tcPr>
    </w:tblStylePr>
    <w:tblStylePr w:type="band1Horz">
      <w:tblPr/>
      <w:tcPr>
        <w:shd w:val="clear" w:color="auto" w:fill="5BFF5B"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5BFF5B" w:themeColor="accent3" w:themeTint="66"/>
        <w:left w:val="single" w:sz="4" w:space="0" w:color="5BFF5B" w:themeColor="accent3" w:themeTint="66"/>
        <w:bottom w:val="single" w:sz="4" w:space="0" w:color="5BFF5B" w:themeColor="accent3" w:themeTint="66"/>
        <w:right w:val="single" w:sz="4" w:space="0" w:color="5BFF5B" w:themeColor="accent3" w:themeTint="66"/>
        <w:insideH w:val="single" w:sz="4" w:space="0" w:color="5BFF5B" w:themeColor="accent3" w:themeTint="66"/>
        <w:insideV w:val="single" w:sz="4" w:space="0" w:color="5BFF5B" w:themeColor="accent3" w:themeTint="66"/>
      </w:tblBorders>
    </w:tblPr>
    <w:tblStylePr w:type="firstRow">
      <w:rPr>
        <w:b/>
        <w:bCs/>
      </w:rPr>
      <w:tblPr/>
      <w:tcPr>
        <w:tcBorders>
          <w:bottom w:val="single" w:sz="12" w:space="0" w:color="0AFF0A" w:themeColor="accent3" w:themeTint="99"/>
        </w:tcBorders>
      </w:tcPr>
    </w:tblStylePr>
    <w:tblStylePr w:type="lastRow">
      <w:rPr>
        <w:b/>
        <w:bCs/>
      </w:rPr>
      <w:tblPr/>
      <w:tcPr>
        <w:tcBorders>
          <w:top w:val="double" w:sz="2" w:space="0" w:color="0AFF0A"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720026" w:themeColor="accent2" w:themeShade="BF"/>
    </w:rPr>
    <w:tblPr>
      <w:tblStyleRowBandSize w:val="1"/>
      <w:tblStyleColBandSize w:val="1"/>
      <w:tblBorders>
        <w:top w:val="single" w:sz="4" w:space="0" w:color="990033" w:themeColor="accent2"/>
        <w:bottom w:val="single" w:sz="4" w:space="0" w:color="990033" w:themeColor="accent2"/>
      </w:tblBorders>
    </w:tblPr>
    <w:tblStylePr w:type="firstRow">
      <w:rPr>
        <w:b/>
        <w:bCs/>
      </w:rPr>
      <w:tblPr/>
      <w:tcPr>
        <w:tcBorders>
          <w:bottom w:val="single" w:sz="4" w:space="0" w:color="990033" w:themeColor="accent2"/>
        </w:tcBorders>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F709F" w:themeColor="accent2" w:themeTint="66"/>
        <w:left w:val="single" w:sz="4" w:space="0" w:color="FF709F" w:themeColor="accent2" w:themeTint="66"/>
        <w:bottom w:val="single" w:sz="4" w:space="0" w:color="FF709F" w:themeColor="accent2" w:themeTint="66"/>
        <w:right w:val="single" w:sz="4" w:space="0" w:color="FF709F" w:themeColor="accent2" w:themeTint="66"/>
        <w:insideH w:val="single" w:sz="4" w:space="0" w:color="FF709F" w:themeColor="accent2" w:themeTint="66"/>
        <w:insideV w:val="single" w:sz="4" w:space="0" w:color="FF709F" w:themeColor="accent2" w:themeTint="66"/>
      </w:tblBorders>
    </w:tblPr>
    <w:tblStylePr w:type="firstRow">
      <w:rPr>
        <w:b/>
        <w:bCs/>
      </w:rPr>
      <w:tblPr/>
      <w:tcPr>
        <w:tcBorders>
          <w:bottom w:val="single" w:sz="12" w:space="0" w:color="FF2870" w:themeColor="accent2" w:themeTint="99"/>
        </w:tcBorders>
      </w:tcPr>
    </w:tblStylePr>
    <w:tblStylePr w:type="lastRow">
      <w:rPr>
        <w:b/>
        <w:bCs/>
      </w:rPr>
      <w:tblPr/>
      <w:tcPr>
        <w:tcBorders>
          <w:top w:val="double" w:sz="2" w:space="0" w:color="FF287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pPr>
  </w:style>
  <w:style w:type="paragraph" w:styleId="BodyText">
    <w:name w:val="Body Text"/>
    <w:basedOn w:val="Normal"/>
    <w:link w:val="BodyTextChar"/>
    <w:uiPriority w:val="1"/>
    <w:qFormat/>
    <w:rsid w:val="007E5787"/>
    <w:pPr>
      <w:widowControl w:val="0"/>
      <w:spacing w:after="0"/>
      <w:ind w:left="840" w:right="0" w:hanging="360"/>
    </w:pPr>
    <w:rPr>
      <w:rFonts w:ascii="Calibri" w:eastAsia="Calibri" w:hAnsi="Calibri"/>
      <w:kern w:val="0"/>
      <w:szCs w:val="24"/>
      <w:lang w:eastAsia="en-US"/>
      <w14:ligatures w14:val="none"/>
    </w:rPr>
  </w:style>
  <w:style w:type="character" w:customStyle="1" w:styleId="BodyTextChar">
    <w:name w:val="Body Text Char"/>
    <w:basedOn w:val="DefaultParagraphFont"/>
    <w:link w:val="BodyText"/>
    <w:uiPriority w:val="1"/>
    <w:rsid w:val="007E5787"/>
    <w:rPr>
      <w:rFonts w:ascii="Calibri" w:eastAsia="Calibri" w:hAnsi="Calibri"/>
      <w:kern w:val="0"/>
      <w:sz w:val="24"/>
      <w:szCs w:val="24"/>
      <w:lang w:eastAsia="en-US"/>
      <w14:ligatures w14:val="none"/>
    </w:rPr>
  </w:style>
  <w:style w:type="paragraph" w:customStyle="1" w:styleId="TableParagraph">
    <w:name w:val="Table Paragraph"/>
    <w:basedOn w:val="Normal"/>
    <w:uiPriority w:val="1"/>
    <w:qFormat/>
    <w:rsid w:val="007E5787"/>
    <w:pPr>
      <w:widowControl w:val="0"/>
      <w:spacing w:after="0"/>
      <w:ind w:left="0" w:right="0"/>
    </w:pPr>
    <w:rPr>
      <w:rFonts w:eastAsiaTheme="minorHAnsi"/>
      <w:kern w:val="0"/>
      <w:lang w:eastAsia="en-US"/>
      <w14:ligatures w14:val="none"/>
    </w:rPr>
  </w:style>
  <w:style w:type="paragraph" w:styleId="TOC1">
    <w:name w:val="toc 1"/>
    <w:basedOn w:val="Normal"/>
    <w:next w:val="Normal"/>
    <w:autoRedefine/>
    <w:uiPriority w:val="1"/>
    <w:unhideWhenUsed/>
    <w:qFormat/>
    <w:rsid w:val="0027159A"/>
    <w:pPr>
      <w:spacing w:after="100"/>
      <w:ind w:left="0"/>
    </w:pPr>
  </w:style>
  <w:style w:type="paragraph" w:styleId="TOC2">
    <w:name w:val="toc 2"/>
    <w:basedOn w:val="Normal"/>
    <w:next w:val="Normal"/>
    <w:autoRedefine/>
    <w:uiPriority w:val="39"/>
    <w:unhideWhenUsed/>
    <w:qFormat/>
    <w:rsid w:val="0027159A"/>
    <w:pPr>
      <w:spacing w:after="100"/>
      <w:ind w:left="240"/>
    </w:pPr>
  </w:style>
  <w:style w:type="paragraph" w:styleId="TOC3">
    <w:name w:val="toc 3"/>
    <w:basedOn w:val="Normal"/>
    <w:next w:val="Normal"/>
    <w:autoRedefine/>
    <w:uiPriority w:val="39"/>
    <w:unhideWhenUsed/>
    <w:qFormat/>
    <w:rsid w:val="0027159A"/>
    <w:pPr>
      <w:spacing w:after="100"/>
      <w:ind w:left="480"/>
    </w:pPr>
  </w:style>
  <w:style w:type="paragraph" w:styleId="ListParagraph">
    <w:name w:val="List Paragraph"/>
    <w:basedOn w:val="Normal"/>
    <w:link w:val="ListParagraphChar"/>
    <w:uiPriority w:val="34"/>
    <w:qFormat/>
    <w:rsid w:val="0027159A"/>
    <w:pPr>
      <w:widowControl w:val="0"/>
      <w:spacing w:after="0"/>
      <w:ind w:left="0" w:right="0"/>
    </w:pPr>
    <w:rPr>
      <w:rFonts w:eastAsiaTheme="minorHAnsi"/>
      <w:kern w:val="0"/>
      <w:sz w:val="22"/>
      <w:lang w:eastAsia="en-US"/>
      <w14:ligatures w14:val="none"/>
    </w:rPr>
  </w:style>
  <w:style w:type="character" w:styleId="Hyperlink">
    <w:name w:val="Hyperlink"/>
    <w:uiPriority w:val="99"/>
    <w:unhideWhenUsed/>
    <w:rsid w:val="00CB6975"/>
    <w:rPr>
      <w:color w:val="0563C1"/>
      <w:u w:val="single"/>
    </w:rPr>
  </w:style>
  <w:style w:type="paragraph" w:customStyle="1" w:styleId="footer8">
    <w:name w:val="footer 8"/>
    <w:basedOn w:val="Normal"/>
    <w:rsid w:val="00081478"/>
    <w:pPr>
      <w:spacing w:before="100" w:after="100" w:line="260" w:lineRule="exact"/>
      <w:ind w:left="0" w:right="0"/>
    </w:pPr>
    <w:rPr>
      <w:rFonts w:ascii="Times New Roman" w:eastAsia="Times New Roman" w:hAnsi="Times New Roman" w:cs="Times New Roman"/>
      <w:kern w:val="0"/>
      <w:sz w:val="16"/>
      <w:szCs w:val="20"/>
      <w:lang w:eastAsia="en-US"/>
      <w14:ligatures w14:val="none"/>
    </w:rPr>
  </w:style>
  <w:style w:type="paragraph" w:customStyle="1" w:styleId="MedCtr">
    <w:name w:val="MedCtr"/>
    <w:basedOn w:val="Normal"/>
    <w:rsid w:val="00081478"/>
    <w:pPr>
      <w:widowControl w:val="0"/>
      <w:tabs>
        <w:tab w:val="right" w:pos="10080"/>
      </w:tabs>
      <w:spacing w:after="20" w:line="360" w:lineRule="atLeast"/>
      <w:ind w:left="0" w:right="0"/>
    </w:pPr>
    <w:rPr>
      <w:rFonts w:ascii="Times New Roman" w:eastAsia="Times New Roman" w:hAnsi="Times New Roman" w:cs="Times New Roman"/>
      <w:b/>
      <w:kern w:val="0"/>
      <w:sz w:val="36"/>
      <w:szCs w:val="20"/>
      <w:lang w:eastAsia="en-US"/>
      <w14:ligatures w14:val="none"/>
    </w:rPr>
  </w:style>
  <w:style w:type="paragraph" w:customStyle="1" w:styleId="subject">
    <w:name w:val="subject"/>
    <w:basedOn w:val="Normal"/>
    <w:rsid w:val="00081478"/>
    <w:pPr>
      <w:widowControl w:val="0"/>
      <w:tabs>
        <w:tab w:val="left" w:pos="866"/>
      </w:tabs>
      <w:spacing w:before="100" w:after="80" w:line="280" w:lineRule="atLeast"/>
      <w:ind w:left="-101" w:right="0"/>
    </w:pPr>
    <w:rPr>
      <w:rFonts w:ascii="Times New Roman" w:eastAsia="Times New Roman" w:hAnsi="Times New Roman" w:cs="Times New Roman"/>
      <w:kern w:val="0"/>
      <w:sz w:val="16"/>
      <w:szCs w:val="20"/>
      <w:lang w:eastAsia="en-US"/>
      <w14:ligatures w14:val="none"/>
    </w:rPr>
  </w:style>
  <w:style w:type="paragraph" w:customStyle="1" w:styleId="manual">
    <w:name w:val="manual"/>
    <w:basedOn w:val="Normal"/>
    <w:rsid w:val="00081478"/>
    <w:pPr>
      <w:widowControl w:val="0"/>
      <w:spacing w:before="10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ection">
    <w:name w:val="section"/>
    <w:basedOn w:val="Normal"/>
    <w:rsid w:val="00081478"/>
    <w:pPr>
      <w:widowControl w:val="0"/>
      <w:spacing w:before="80" w:after="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ubjecttext">
    <w:name w:val="subject text"/>
    <w:basedOn w:val="Normal"/>
    <w:rsid w:val="00081478"/>
    <w:pPr>
      <w:widowControl w:val="0"/>
      <w:tabs>
        <w:tab w:val="left" w:pos="866"/>
      </w:tabs>
      <w:spacing w:before="120" w:after="80" w:line="280" w:lineRule="atLeast"/>
      <w:ind w:left="-43" w:right="0"/>
    </w:pPr>
    <w:rPr>
      <w:rFonts w:ascii="Times New Roman" w:eastAsia="Times New Roman" w:hAnsi="Times New Roman" w:cs="Times New Roman"/>
      <w:kern w:val="0"/>
      <w:szCs w:val="20"/>
      <w:lang w:eastAsia="en-US"/>
      <w14:ligatures w14:val="none"/>
    </w:rPr>
  </w:style>
  <w:style w:type="paragraph" w:customStyle="1" w:styleId="chapter2">
    <w:name w:val="chapter2"/>
    <w:basedOn w:val="Header"/>
    <w:rsid w:val="00081478"/>
    <w:pPr>
      <w:widowControl w:val="0"/>
      <w:spacing w:before="20" w:after="140" w:line="280" w:lineRule="exact"/>
      <w:ind w:left="0" w:right="-72"/>
      <w:jc w:val="left"/>
    </w:pPr>
    <w:rPr>
      <w:rFonts w:ascii="Times New Roman" w:eastAsia="Times New Roman" w:hAnsi="Times New Roman" w:cs="Times New Roman"/>
      <w:kern w:val="0"/>
      <w:szCs w:val="20"/>
      <w:lang w:eastAsia="en-US"/>
      <w14:ligatures w14:val="none"/>
    </w:rPr>
  </w:style>
  <w:style w:type="paragraph" w:customStyle="1" w:styleId="chapter1">
    <w:name w:val="chapter1"/>
    <w:basedOn w:val="Normal"/>
    <w:rsid w:val="00081478"/>
    <w:pPr>
      <w:widowControl w:val="0"/>
      <w:spacing w:before="100" w:after="0" w:line="280" w:lineRule="atLeast"/>
      <w:ind w:left="0" w:right="0"/>
    </w:pPr>
    <w:rPr>
      <w:rFonts w:ascii="Times New Roman" w:eastAsia="Times New Roman" w:hAnsi="Times New Roman" w:cs="Times New Roman"/>
      <w:kern w:val="0"/>
      <w:szCs w:val="20"/>
      <w:lang w:eastAsia="en-US"/>
      <w14:ligatures w14:val="none"/>
    </w:rPr>
  </w:style>
  <w:style w:type="paragraph" w:customStyle="1" w:styleId="manualname">
    <w:name w:val="manual name"/>
    <w:basedOn w:val="Header"/>
    <w:rsid w:val="00081478"/>
    <w:pPr>
      <w:widowControl w:val="0"/>
      <w:tabs>
        <w:tab w:val="left" w:pos="-1440"/>
        <w:tab w:val="left" w:pos="792"/>
      </w:tabs>
      <w:spacing w:before="120" w:after="120" w:line="280" w:lineRule="exact"/>
      <w:ind w:left="0" w:right="0"/>
      <w:jc w:val="left"/>
    </w:pPr>
    <w:rPr>
      <w:rFonts w:ascii="Times New Roman" w:eastAsia="Times New Roman" w:hAnsi="Times New Roman" w:cs="Times New Roman"/>
      <w:kern w:val="0"/>
      <w:szCs w:val="20"/>
      <w:lang w:eastAsia="en-US"/>
      <w14:ligatures w14:val="none"/>
    </w:rPr>
  </w:style>
  <w:style w:type="paragraph" w:customStyle="1" w:styleId="header8">
    <w:name w:val="header8"/>
    <w:basedOn w:val="footer8"/>
    <w:rsid w:val="00081478"/>
    <w:pPr>
      <w:widowControl w:val="0"/>
      <w:autoSpaceDE w:val="0"/>
      <w:autoSpaceDN w:val="0"/>
      <w:adjustRightInd w:val="0"/>
      <w:spacing w:after="0"/>
    </w:pPr>
    <w:rPr>
      <w:szCs w:val="24"/>
    </w:rPr>
  </w:style>
  <w:style w:type="paragraph" w:customStyle="1" w:styleId="footerinfo">
    <w:name w:val="footer info"/>
    <w:basedOn w:val="Header"/>
    <w:rsid w:val="00081478"/>
    <w:pPr>
      <w:widowControl w:val="0"/>
      <w:spacing w:before="60" w:after="60" w:line="240" w:lineRule="atLeast"/>
      <w:ind w:left="0" w:right="0"/>
      <w:jc w:val="left"/>
    </w:pPr>
    <w:rPr>
      <w:rFonts w:ascii="Times New Roman" w:eastAsia="Times New Roman" w:hAnsi="Times New Roman" w:cs="Times New Roman"/>
      <w:kern w:val="0"/>
      <w:szCs w:val="20"/>
      <w:lang w:eastAsia="en-US"/>
      <w14:ligatures w14:val="none"/>
    </w:rPr>
  </w:style>
  <w:style w:type="paragraph" w:customStyle="1" w:styleId="footertitle">
    <w:name w:val="footer title"/>
    <w:basedOn w:val="Normal"/>
    <w:rsid w:val="00081478"/>
    <w:pPr>
      <w:widowControl w:val="0"/>
      <w:spacing w:before="60" w:after="60" w:line="240" w:lineRule="atLeast"/>
      <w:ind w:left="0" w:right="0"/>
    </w:pPr>
    <w:rPr>
      <w:rFonts w:ascii="Times New Roman" w:eastAsia="Times New Roman" w:hAnsi="Times New Roman" w:cs="Times New Roman"/>
      <w:kern w:val="0"/>
      <w:sz w:val="16"/>
      <w:szCs w:val="20"/>
      <w:lang w:eastAsia="en-US"/>
      <w14:ligatures w14:val="none"/>
    </w:rPr>
  </w:style>
  <w:style w:type="character" w:styleId="IntenseReference">
    <w:name w:val="Intense Reference"/>
    <w:basedOn w:val="DefaultParagraphFont"/>
    <w:uiPriority w:val="32"/>
    <w:qFormat/>
    <w:rsid w:val="00103D8A"/>
    <w:rPr>
      <w:b/>
      <w:bCs/>
      <w:smallCaps/>
      <w:color w:val="720026" w:themeColor="accent2" w:themeShade="BF"/>
      <w:spacing w:val="5"/>
      <w:sz w:val="22"/>
    </w:rPr>
  </w:style>
  <w:style w:type="table" w:customStyle="1" w:styleId="TableGrid1">
    <w:name w:val="Table Grid1"/>
    <w:basedOn w:val="TableNormal"/>
    <w:next w:val="TableGrid"/>
    <w:uiPriority w:val="39"/>
    <w:rsid w:val="00103D8A"/>
    <w:pPr>
      <w:spacing w:after="0" w:line="240" w:lineRule="auto"/>
    </w:pPr>
    <w:rPr>
      <w:rFonts w:eastAsia="Calibri"/>
      <w:kern w:val="0"/>
      <w:sz w:val="24"/>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CA5F09"/>
    <w:pPr>
      <w:spacing w:after="100"/>
      <w:ind w:left="960"/>
    </w:pPr>
  </w:style>
  <w:style w:type="paragraph" w:styleId="TOC4">
    <w:name w:val="toc 4"/>
    <w:basedOn w:val="Normal"/>
    <w:next w:val="Normal"/>
    <w:autoRedefine/>
    <w:uiPriority w:val="39"/>
    <w:unhideWhenUsed/>
    <w:rsid w:val="00CA5F09"/>
    <w:pPr>
      <w:spacing w:after="100"/>
      <w:ind w:left="720"/>
    </w:pPr>
  </w:style>
  <w:style w:type="table" w:styleId="ListTable4-Accent2">
    <w:name w:val="List Table 4 Accent 2"/>
    <w:basedOn w:val="TableNormal"/>
    <w:uiPriority w:val="49"/>
    <w:rsid w:val="00123004"/>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tblBorders>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tcBorders>
        <w:shd w:val="clear" w:color="auto" w:fill="990033" w:themeFill="accent2"/>
      </w:tcPr>
    </w:tblStylePr>
    <w:tblStylePr w:type="lastRow">
      <w:rPr>
        <w:b/>
        <w:bCs/>
      </w:rPr>
      <w:tblPr/>
      <w:tcPr>
        <w:tcBorders>
          <w:top w:val="doub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customStyle="1" w:styleId="ListParagraphChar">
    <w:name w:val="List Paragraph Char"/>
    <w:basedOn w:val="DefaultParagraphFont"/>
    <w:link w:val="ListParagraph"/>
    <w:uiPriority w:val="34"/>
    <w:rsid w:val="00540A95"/>
    <w:rPr>
      <w:rFonts w:eastAsiaTheme="minorHAnsi"/>
      <w:kern w:val="0"/>
      <w:lang w:eastAsia="en-US"/>
      <w14:ligatures w14:val="none"/>
    </w:rPr>
  </w:style>
  <w:style w:type="character" w:styleId="UnresolvedMention">
    <w:name w:val="Unresolved Mention"/>
    <w:basedOn w:val="DefaultParagraphFont"/>
    <w:uiPriority w:val="99"/>
    <w:semiHidden/>
    <w:unhideWhenUsed/>
    <w:rsid w:val="006D4EC7"/>
    <w:rPr>
      <w:color w:val="605E5C"/>
      <w:shd w:val="clear" w:color="auto" w:fill="E1DFDD"/>
    </w:rPr>
  </w:style>
  <w:style w:type="table" w:customStyle="1" w:styleId="TableGrid2">
    <w:name w:val="Table Grid2"/>
    <w:basedOn w:val="TableNormal"/>
    <w:next w:val="TableGrid"/>
    <w:uiPriority w:val="39"/>
    <w:rsid w:val="008B438E"/>
    <w:pPr>
      <w:spacing w:before="120" w:after="0" w:line="271" w:lineRule="auto"/>
    </w:pPr>
    <w:rPr>
      <w:rFonts w:ascii="Calibri" w:eastAsia="Times New Roman" w:hAnsi="Calibri" w:cs="Times New Roman"/>
      <w:kern w:val="0"/>
      <w:lang w:eastAsia="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31">
    <w:name w:val="Grid Table 4 - Accent 31"/>
    <w:basedOn w:val="TableNormal"/>
    <w:next w:val="GridTable4-Accent3"/>
    <w:uiPriority w:val="49"/>
    <w:rsid w:val="008B438E"/>
    <w:pPr>
      <w:spacing w:after="0" w:line="240" w:lineRule="auto"/>
    </w:pPr>
    <w:tblPr>
      <w:tblStyleRowBandSize w:val="1"/>
      <w:tblStyleColBandSize w:val="1"/>
      <w:tblInd w:w="0" w:type="nil"/>
      <w:tblBorders>
        <w:top w:val="single" w:sz="4" w:space="0" w:color="D9E288"/>
        <w:left w:val="single" w:sz="4" w:space="0" w:color="D9E288"/>
        <w:bottom w:val="single" w:sz="4" w:space="0" w:color="D9E288"/>
        <w:right w:val="single" w:sz="4" w:space="0" w:color="D9E288"/>
        <w:insideH w:val="single" w:sz="4" w:space="0" w:color="D9E288"/>
        <w:insideV w:val="single" w:sz="4" w:space="0" w:color="D9E288"/>
      </w:tblBorders>
    </w:tblPr>
    <w:tblStylePr w:type="firstRow">
      <w:rPr>
        <w:b/>
        <w:bCs/>
        <w:color w:val="FFFFFF"/>
      </w:rPr>
      <w:tblPr/>
      <w:tcPr>
        <w:tcBorders>
          <w:top w:val="single" w:sz="4" w:space="0" w:color="C0CF3A"/>
          <w:left w:val="single" w:sz="4" w:space="0" w:color="C0CF3A"/>
          <w:bottom w:val="single" w:sz="4" w:space="0" w:color="C0CF3A"/>
          <w:right w:val="single" w:sz="4" w:space="0" w:color="C0CF3A"/>
          <w:insideH w:val="nil"/>
          <w:insideV w:val="nil"/>
        </w:tcBorders>
        <w:shd w:val="clear" w:color="auto" w:fill="C0CF3A"/>
      </w:tcPr>
    </w:tblStylePr>
    <w:tblStylePr w:type="lastRow">
      <w:rPr>
        <w:b/>
        <w:bCs/>
      </w:rPr>
      <w:tblPr/>
      <w:tcPr>
        <w:tcBorders>
          <w:top w:val="double" w:sz="4" w:space="0" w:color="C0CF3A"/>
        </w:tcBorders>
      </w:tcPr>
    </w:tblStylePr>
    <w:tblStylePr w:type="firstCol">
      <w:rPr>
        <w:b/>
        <w:bCs/>
      </w:rPr>
    </w:tblStylePr>
    <w:tblStylePr w:type="lastCol">
      <w:rPr>
        <w:b/>
        <w:bCs/>
      </w:rPr>
    </w:tblStylePr>
    <w:tblStylePr w:type="band1Vert">
      <w:tblPr/>
      <w:tcPr>
        <w:shd w:val="clear" w:color="auto" w:fill="F2F5D7"/>
      </w:tcPr>
    </w:tblStylePr>
    <w:tblStylePr w:type="band1Horz">
      <w:tblPr/>
      <w:tcPr>
        <w:shd w:val="clear" w:color="auto" w:fill="F2F5D7"/>
      </w:tcPr>
    </w:tblStylePr>
  </w:style>
  <w:style w:type="table" w:styleId="GridTable4-Accent3">
    <w:name w:val="Grid Table 4 Accent 3"/>
    <w:basedOn w:val="TableNormal"/>
    <w:uiPriority w:val="49"/>
    <w:rsid w:val="008B438E"/>
    <w:pPr>
      <w:spacing w:after="0" w:line="240" w:lineRule="auto"/>
    </w:pPr>
    <w:tblPr>
      <w:tblStyleRowBandSize w:val="1"/>
      <w:tblStyleColBandSize w:val="1"/>
      <w:tblBorders>
        <w:top w:val="single" w:sz="4" w:space="0" w:color="0AFF0A" w:themeColor="accent3" w:themeTint="99"/>
        <w:left w:val="single" w:sz="4" w:space="0" w:color="0AFF0A" w:themeColor="accent3" w:themeTint="99"/>
        <w:bottom w:val="single" w:sz="4" w:space="0" w:color="0AFF0A" w:themeColor="accent3" w:themeTint="99"/>
        <w:right w:val="single" w:sz="4" w:space="0" w:color="0AFF0A" w:themeColor="accent3" w:themeTint="99"/>
        <w:insideH w:val="single" w:sz="4" w:space="0" w:color="0AFF0A" w:themeColor="accent3" w:themeTint="99"/>
        <w:insideV w:val="single" w:sz="4" w:space="0" w:color="0AFF0A" w:themeColor="accent3" w:themeTint="99"/>
      </w:tblBorders>
    </w:tblPr>
    <w:tblStylePr w:type="firstRow">
      <w:rPr>
        <w:b/>
        <w:bCs/>
        <w:color w:val="FFFFFF" w:themeColor="background1"/>
      </w:rPr>
      <w:tblPr/>
      <w:tcPr>
        <w:tcBorders>
          <w:top w:val="single" w:sz="4" w:space="0" w:color="006600" w:themeColor="accent3"/>
          <w:left w:val="single" w:sz="4" w:space="0" w:color="006600" w:themeColor="accent3"/>
          <w:bottom w:val="single" w:sz="4" w:space="0" w:color="006600" w:themeColor="accent3"/>
          <w:right w:val="single" w:sz="4" w:space="0" w:color="006600" w:themeColor="accent3"/>
          <w:insideH w:val="nil"/>
          <w:insideV w:val="nil"/>
        </w:tcBorders>
        <w:shd w:val="clear" w:color="auto" w:fill="006600" w:themeFill="accent3"/>
      </w:tcPr>
    </w:tblStylePr>
    <w:tblStylePr w:type="lastRow">
      <w:rPr>
        <w:b/>
        <w:bCs/>
      </w:rPr>
      <w:tblPr/>
      <w:tcPr>
        <w:tcBorders>
          <w:top w:val="double" w:sz="4" w:space="0" w:color="006600" w:themeColor="accent3"/>
        </w:tcBorders>
      </w:tcPr>
    </w:tblStylePr>
    <w:tblStylePr w:type="firstCol">
      <w:rPr>
        <w:b/>
        <w:bCs/>
      </w:rPr>
    </w:tblStylePr>
    <w:tblStylePr w:type="lastCol">
      <w:rPr>
        <w:b/>
        <w:bCs/>
      </w:rPr>
    </w:tblStylePr>
    <w:tblStylePr w:type="band1Vert">
      <w:tblPr/>
      <w:tcPr>
        <w:shd w:val="clear" w:color="auto" w:fill="ADFFAD" w:themeFill="accent3" w:themeFillTint="33"/>
      </w:tcPr>
    </w:tblStylePr>
    <w:tblStylePr w:type="band1Horz">
      <w:tblPr/>
      <w:tcPr>
        <w:shd w:val="clear" w:color="auto" w:fill="ADFFA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69938">
      <w:bodyDiv w:val="1"/>
      <w:marLeft w:val="0"/>
      <w:marRight w:val="0"/>
      <w:marTop w:val="0"/>
      <w:marBottom w:val="0"/>
      <w:divBdr>
        <w:top w:val="none" w:sz="0" w:space="0" w:color="auto"/>
        <w:left w:val="none" w:sz="0" w:space="0" w:color="auto"/>
        <w:bottom w:val="none" w:sz="0" w:space="0" w:color="auto"/>
        <w:right w:val="none" w:sz="0" w:space="0" w:color="auto"/>
      </w:divBdr>
    </w:div>
    <w:div w:id="1080953049">
      <w:bodyDiv w:val="1"/>
      <w:marLeft w:val="0"/>
      <w:marRight w:val="0"/>
      <w:marTop w:val="0"/>
      <w:marBottom w:val="0"/>
      <w:divBdr>
        <w:top w:val="none" w:sz="0" w:space="0" w:color="auto"/>
        <w:left w:val="none" w:sz="0" w:space="0" w:color="auto"/>
        <w:bottom w:val="none" w:sz="0" w:space="0" w:color="auto"/>
        <w:right w:val="none" w:sz="0" w:space="0" w:color="auto"/>
      </w:divBdr>
    </w:div>
    <w:div w:id="1582174840">
      <w:bodyDiv w:val="1"/>
      <w:marLeft w:val="0"/>
      <w:marRight w:val="0"/>
      <w:marTop w:val="0"/>
      <w:marBottom w:val="0"/>
      <w:divBdr>
        <w:top w:val="none" w:sz="0" w:space="0" w:color="auto"/>
        <w:left w:val="none" w:sz="0" w:space="0" w:color="auto"/>
        <w:bottom w:val="none" w:sz="0" w:space="0" w:color="auto"/>
        <w:right w:val="none" w:sz="0" w:space="0" w:color="auto"/>
      </w:divBdr>
    </w:div>
    <w:div w:id="19858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infectioncontrol/guidelines/disinfection/index.html" TargetMode="External"/><Relationship Id="rId18" Type="http://schemas.openxmlformats.org/officeDocument/2006/relationships/hyperlink" Target="https://www.pca.state.mn.us/waste/hazardous-was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c.gov/vhf/ebola/healthcare-us/emergency-services/ems-systems.html" TargetMode="External"/><Relationship Id="rId7" Type="http://schemas.openxmlformats.org/officeDocument/2006/relationships/styles" Target="styles.xml"/><Relationship Id="rId12" Type="http://schemas.openxmlformats.org/officeDocument/2006/relationships/hyperlink" Target="https://www.cdc.gov/phpr/publications/2008/appendix6.pdf" TargetMode="External"/><Relationship Id="rId17" Type="http://schemas.openxmlformats.org/officeDocument/2006/relationships/hyperlink" Target="https://www.cdc.gov/vhf/ebola/healthcare-us/ppe/guidanc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vhf/ebola/healthcare-us/cleaning/hospitals.html%20" TargetMode="External"/><Relationship Id="rId20" Type="http://schemas.openxmlformats.org/officeDocument/2006/relationships/hyperlink" Target="https://www.cdc.gov/vhf/ebola/healthcare-us/ppe/guidanc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cms.phmsa.dot.gov/transporting-infectious-substances/transporting-infectious-substances-overview%20"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dc.gov/vhf/ebola/healthcare-us/cleaning/handling-wast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vhf/ebola/healthcare-us/cleaning/waste-management.html%20" TargetMode="External"/><Relationship Id="rId22" Type="http://schemas.openxmlformats.org/officeDocument/2006/relationships/hyperlink" Target="https://iab.gov/Uploads/IAB%20Ebola%20PPE%20Recommendations_10%2024%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ject communication plan">
  <a:themeElements>
    <a:clrScheme name="Central Region">
      <a:dk1>
        <a:sysClr val="windowText" lastClr="000000"/>
      </a:dk1>
      <a:lt1>
        <a:sysClr val="window" lastClr="FFFFFF"/>
      </a:lt1>
      <a:dk2>
        <a:srgbClr val="242852"/>
      </a:dk2>
      <a:lt2>
        <a:srgbClr val="33CC33"/>
      </a:lt2>
      <a:accent1>
        <a:srgbClr val="4A66AC"/>
      </a:accent1>
      <a:accent2>
        <a:srgbClr val="990033"/>
      </a:accent2>
      <a:accent3>
        <a:srgbClr val="006600"/>
      </a:accent3>
      <a:accent4>
        <a:srgbClr val="0E57C4"/>
      </a:accent4>
      <a:accent5>
        <a:srgbClr val="660033"/>
      </a:accent5>
      <a:accent6>
        <a:srgbClr val="0E57C4"/>
      </a:accent6>
      <a:hlink>
        <a:srgbClr val="FF0000"/>
      </a:hlink>
      <a:folHlink>
        <a:srgbClr val="84B2F6"/>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9C845C-5121-42DC-B7A0-EFEBC3FDC850}">
  <ds:schemaRefs>
    <ds:schemaRef ds:uri="http://schemas.openxmlformats.org/officeDocument/2006/bibliography"/>
  </ds:schemaRefs>
</ds:datastoreItem>
</file>

<file path=customXml/itemProps3.xml><?xml version="1.0" encoding="utf-8"?>
<ds:datastoreItem xmlns:ds="http://schemas.openxmlformats.org/officeDocument/2006/customXml" ds:itemID="{4C479CEB-0D72-44FF-BD53-3BC94A1857A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568A6C4-63B2-4DE3-8071-3AD482237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F2F377-6374-401D-82F0-3667F198D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2</TotalTime>
  <Pages>10</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Appendix 3.5.5 cmhpc regional resource allocation plan</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3.5.6</dc:title>
  <dc:creator>Stoen, Shawn</dc:creator>
  <cp:keywords/>
  <cp:lastModifiedBy>Stoen, Shawn</cp:lastModifiedBy>
  <cp:revision>2</cp:revision>
  <cp:lastPrinted>2018-05-18T20:58:00Z</cp:lastPrinted>
  <dcterms:created xsi:type="dcterms:W3CDTF">2022-05-18T03:02:00Z</dcterms:created>
  <dcterms:modified xsi:type="dcterms:W3CDTF">2022-05-18T03:02:00Z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0x01010006658FFCE2972E41B776DAC0D5086AE6</vt:lpwstr>
  </property>
</Properties>
</file>