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76C4" w14:textId="77777777" w:rsidR="00F84B2D" w:rsidRPr="00100D24" w:rsidRDefault="00F84B2D" w:rsidP="00F84B2D">
      <w:pPr>
        <w:pStyle w:val="Default"/>
        <w:ind w:right="-41"/>
        <w:jc w:val="center"/>
        <w:rPr>
          <w:rFonts w:asciiTheme="minorHAnsi" w:hAnsiTheme="minorHAnsi"/>
          <w:sz w:val="22"/>
          <w:szCs w:val="22"/>
        </w:rPr>
      </w:pPr>
    </w:p>
    <w:p w14:paraId="031D2894" w14:textId="77777777" w:rsidR="00100D24" w:rsidRPr="00100D24" w:rsidRDefault="00100D24" w:rsidP="00F84B2D">
      <w:pPr>
        <w:pStyle w:val="Default"/>
        <w:ind w:right="-41"/>
        <w:jc w:val="center"/>
        <w:rPr>
          <w:rFonts w:asciiTheme="minorHAnsi" w:hAnsiTheme="minorHAnsi"/>
          <w:b/>
          <w:bCs/>
          <w:sz w:val="22"/>
          <w:szCs w:val="22"/>
        </w:rPr>
      </w:pPr>
    </w:p>
    <w:p w14:paraId="10AA7469" w14:textId="77777777" w:rsidR="00100D24" w:rsidRPr="00100D24" w:rsidRDefault="00100D24" w:rsidP="00F84B2D">
      <w:pPr>
        <w:pStyle w:val="Default"/>
        <w:ind w:right="-41"/>
        <w:jc w:val="center"/>
        <w:rPr>
          <w:rFonts w:asciiTheme="minorHAnsi" w:hAnsiTheme="minorHAnsi"/>
          <w:b/>
          <w:bCs/>
          <w:sz w:val="40"/>
          <w:szCs w:val="22"/>
        </w:rPr>
      </w:pPr>
    </w:p>
    <w:p w14:paraId="76408DED" w14:textId="77777777" w:rsidR="00915E46" w:rsidRDefault="00915E46" w:rsidP="00F84B2D">
      <w:pPr>
        <w:pStyle w:val="Default"/>
        <w:ind w:right="-41"/>
        <w:jc w:val="center"/>
        <w:rPr>
          <w:rFonts w:asciiTheme="minorHAnsi" w:hAnsiTheme="minorHAnsi"/>
          <w:b/>
          <w:bCs/>
          <w:sz w:val="56"/>
          <w:szCs w:val="22"/>
        </w:rPr>
      </w:pPr>
    </w:p>
    <w:p w14:paraId="2591AD44" w14:textId="77777777" w:rsidR="00F84B2D" w:rsidRPr="00100D24" w:rsidRDefault="00F84B2D" w:rsidP="00F84B2D">
      <w:pPr>
        <w:pStyle w:val="Default"/>
        <w:ind w:right="-41"/>
        <w:jc w:val="center"/>
        <w:rPr>
          <w:rFonts w:asciiTheme="minorHAnsi" w:hAnsiTheme="minorHAnsi"/>
          <w:b/>
          <w:bCs/>
          <w:sz w:val="56"/>
          <w:szCs w:val="22"/>
        </w:rPr>
      </w:pPr>
      <w:r w:rsidRPr="00100D24">
        <w:rPr>
          <w:rFonts w:asciiTheme="minorHAnsi" w:hAnsiTheme="minorHAnsi"/>
          <w:b/>
          <w:bCs/>
          <w:sz w:val="56"/>
          <w:szCs w:val="22"/>
        </w:rPr>
        <w:t>Central</w:t>
      </w:r>
    </w:p>
    <w:p w14:paraId="60B0E065" w14:textId="77777777" w:rsidR="00F84B2D" w:rsidRPr="00100D24" w:rsidRDefault="00F84B2D" w:rsidP="00F84B2D">
      <w:pPr>
        <w:pStyle w:val="Default"/>
        <w:ind w:right="-41"/>
        <w:jc w:val="center"/>
        <w:rPr>
          <w:rFonts w:asciiTheme="minorHAnsi" w:hAnsiTheme="minorHAnsi"/>
          <w:sz w:val="40"/>
          <w:szCs w:val="22"/>
        </w:rPr>
      </w:pPr>
    </w:p>
    <w:p w14:paraId="7C9D6299" w14:textId="77777777" w:rsidR="00F84B2D" w:rsidRPr="00100D24" w:rsidRDefault="00F84B2D" w:rsidP="00F84B2D">
      <w:pPr>
        <w:pStyle w:val="Default"/>
        <w:ind w:right="-41"/>
        <w:jc w:val="center"/>
        <w:rPr>
          <w:rFonts w:asciiTheme="minorHAnsi" w:hAnsiTheme="minorHAnsi"/>
          <w:b/>
          <w:bCs/>
          <w:sz w:val="40"/>
          <w:szCs w:val="22"/>
        </w:rPr>
      </w:pPr>
      <w:r w:rsidRPr="00100D24">
        <w:rPr>
          <w:rFonts w:asciiTheme="minorHAnsi" w:hAnsiTheme="minorHAnsi"/>
          <w:b/>
          <w:bCs/>
          <w:sz w:val="40"/>
          <w:szCs w:val="22"/>
        </w:rPr>
        <w:t>Minnesota Healthcare System Preparedness Program</w:t>
      </w:r>
    </w:p>
    <w:p w14:paraId="3CDC749A" w14:textId="77777777" w:rsidR="00F84B2D" w:rsidRPr="00100D24" w:rsidRDefault="00F84B2D" w:rsidP="00F84B2D">
      <w:pPr>
        <w:pStyle w:val="Default"/>
        <w:ind w:right="-41"/>
        <w:jc w:val="center"/>
        <w:rPr>
          <w:rFonts w:asciiTheme="minorHAnsi" w:hAnsiTheme="minorHAnsi"/>
          <w:b/>
          <w:bCs/>
          <w:sz w:val="40"/>
          <w:szCs w:val="22"/>
        </w:rPr>
      </w:pPr>
    </w:p>
    <w:p w14:paraId="70721CDF" w14:textId="77777777" w:rsidR="006421E4" w:rsidRPr="00100D24" w:rsidRDefault="006421E4" w:rsidP="00F84B2D">
      <w:pPr>
        <w:pStyle w:val="Default"/>
        <w:ind w:right="-41"/>
        <w:jc w:val="center"/>
        <w:rPr>
          <w:rFonts w:asciiTheme="minorHAnsi" w:hAnsiTheme="minorHAnsi"/>
          <w:b/>
          <w:bCs/>
          <w:sz w:val="40"/>
          <w:szCs w:val="22"/>
        </w:rPr>
      </w:pPr>
    </w:p>
    <w:p w14:paraId="64CA8A8D" w14:textId="77777777" w:rsidR="006421E4" w:rsidRPr="00100D24" w:rsidRDefault="006421E4" w:rsidP="00F84B2D">
      <w:pPr>
        <w:pStyle w:val="Default"/>
        <w:ind w:right="-41"/>
        <w:jc w:val="center"/>
        <w:rPr>
          <w:rFonts w:asciiTheme="minorHAnsi" w:hAnsiTheme="minorHAnsi"/>
          <w:b/>
          <w:bCs/>
          <w:sz w:val="40"/>
          <w:szCs w:val="22"/>
        </w:rPr>
      </w:pPr>
    </w:p>
    <w:p w14:paraId="493220A8" w14:textId="77777777" w:rsidR="006421E4" w:rsidRPr="00100D24" w:rsidRDefault="006421E4" w:rsidP="00F84B2D">
      <w:pPr>
        <w:pStyle w:val="Default"/>
        <w:ind w:right="-41"/>
        <w:jc w:val="center"/>
        <w:rPr>
          <w:rFonts w:asciiTheme="minorHAnsi" w:hAnsiTheme="minorHAnsi"/>
          <w:sz w:val="40"/>
          <w:szCs w:val="22"/>
        </w:rPr>
      </w:pPr>
    </w:p>
    <w:p w14:paraId="231BBA47" w14:textId="77777777" w:rsidR="006421E4" w:rsidRPr="00CB6384" w:rsidRDefault="00CB6384" w:rsidP="00F84B2D">
      <w:pPr>
        <w:pStyle w:val="Default"/>
        <w:ind w:right="-41"/>
        <w:jc w:val="center"/>
        <w:rPr>
          <w:rFonts w:asciiTheme="minorHAnsi" w:hAnsiTheme="minorHAnsi" w:cstheme="minorHAnsi"/>
          <w:b/>
          <w:bCs/>
          <w:sz w:val="44"/>
          <w:szCs w:val="44"/>
        </w:rPr>
      </w:pPr>
      <w:r w:rsidRPr="00CB6384">
        <w:rPr>
          <w:rFonts w:asciiTheme="minorHAnsi" w:hAnsiTheme="minorHAnsi" w:cstheme="minorHAnsi"/>
          <w:b/>
          <w:sz w:val="44"/>
          <w:szCs w:val="44"/>
        </w:rPr>
        <w:t>CMHPC Handling of Solid Waste Contaminated with a Category ‘A’ Infectious Substance</w:t>
      </w:r>
      <w:r w:rsidR="007E5EBF">
        <w:rPr>
          <w:rFonts w:asciiTheme="minorHAnsi" w:hAnsiTheme="minorHAnsi" w:cstheme="minorHAnsi"/>
          <w:b/>
          <w:sz w:val="44"/>
          <w:szCs w:val="44"/>
        </w:rPr>
        <w:t xml:space="preserve"> – Guidance for Healthcare Facilities and Emergency Medical Services (EMS)</w:t>
      </w:r>
    </w:p>
    <w:p w14:paraId="79C6092F" w14:textId="77777777" w:rsidR="006421E4" w:rsidRPr="00100D24" w:rsidRDefault="006421E4" w:rsidP="00F84B2D">
      <w:pPr>
        <w:pStyle w:val="Default"/>
        <w:ind w:right="-41"/>
        <w:jc w:val="center"/>
        <w:rPr>
          <w:rFonts w:asciiTheme="minorHAnsi" w:hAnsiTheme="minorHAnsi"/>
          <w:b/>
          <w:bCs/>
          <w:sz w:val="40"/>
          <w:szCs w:val="22"/>
        </w:rPr>
      </w:pPr>
    </w:p>
    <w:p w14:paraId="3D5B56A5" w14:textId="77777777" w:rsidR="006421E4" w:rsidRPr="00100D24" w:rsidRDefault="006421E4" w:rsidP="00F84B2D">
      <w:pPr>
        <w:pStyle w:val="Default"/>
        <w:ind w:right="-41"/>
        <w:jc w:val="center"/>
        <w:rPr>
          <w:rFonts w:asciiTheme="minorHAnsi" w:hAnsiTheme="minorHAnsi"/>
          <w:b/>
          <w:bCs/>
          <w:sz w:val="40"/>
          <w:szCs w:val="22"/>
        </w:rPr>
      </w:pPr>
    </w:p>
    <w:p w14:paraId="7417DA78" w14:textId="77777777" w:rsidR="006421E4" w:rsidRPr="00100D24" w:rsidRDefault="006421E4" w:rsidP="00F84B2D">
      <w:pPr>
        <w:pStyle w:val="Default"/>
        <w:ind w:right="-41"/>
        <w:jc w:val="center"/>
        <w:rPr>
          <w:rFonts w:asciiTheme="minorHAnsi" w:hAnsiTheme="minorHAnsi"/>
          <w:b/>
          <w:bCs/>
          <w:sz w:val="40"/>
          <w:szCs w:val="22"/>
        </w:rPr>
      </w:pPr>
    </w:p>
    <w:p w14:paraId="52252853" w14:textId="77777777" w:rsidR="006421E4" w:rsidRPr="00100D24" w:rsidRDefault="006421E4" w:rsidP="00F84B2D">
      <w:pPr>
        <w:pStyle w:val="Default"/>
        <w:ind w:right="-41"/>
        <w:jc w:val="center"/>
        <w:rPr>
          <w:rFonts w:asciiTheme="minorHAnsi" w:hAnsiTheme="minorHAnsi"/>
          <w:sz w:val="40"/>
          <w:szCs w:val="22"/>
        </w:rPr>
      </w:pPr>
    </w:p>
    <w:p w14:paraId="7688E65E" w14:textId="77777777" w:rsidR="006421E4" w:rsidRPr="00100D24" w:rsidRDefault="00F84B2D" w:rsidP="00F84B2D">
      <w:pPr>
        <w:pStyle w:val="Default"/>
        <w:ind w:right="-41"/>
        <w:jc w:val="center"/>
        <w:rPr>
          <w:rFonts w:asciiTheme="minorHAnsi" w:hAnsiTheme="minorHAnsi"/>
          <w:b/>
          <w:bCs/>
          <w:sz w:val="40"/>
          <w:szCs w:val="22"/>
        </w:rPr>
      </w:pPr>
      <w:r w:rsidRPr="00100D24">
        <w:rPr>
          <w:rFonts w:asciiTheme="minorHAnsi" w:hAnsiTheme="minorHAnsi"/>
          <w:b/>
          <w:bCs/>
          <w:sz w:val="40"/>
          <w:szCs w:val="22"/>
        </w:rPr>
        <w:t>01 Ju</w:t>
      </w:r>
      <w:r w:rsidR="0072516E">
        <w:rPr>
          <w:rFonts w:asciiTheme="minorHAnsi" w:hAnsiTheme="minorHAnsi"/>
          <w:b/>
          <w:bCs/>
          <w:sz w:val="40"/>
          <w:szCs w:val="22"/>
        </w:rPr>
        <w:t>ne</w:t>
      </w:r>
      <w:r w:rsidRPr="00100D24">
        <w:rPr>
          <w:rFonts w:asciiTheme="minorHAnsi" w:hAnsiTheme="minorHAnsi"/>
          <w:b/>
          <w:bCs/>
          <w:sz w:val="40"/>
          <w:szCs w:val="22"/>
        </w:rPr>
        <w:t xml:space="preserve"> 201</w:t>
      </w:r>
      <w:r w:rsidR="00CB6384">
        <w:rPr>
          <w:rFonts w:asciiTheme="minorHAnsi" w:hAnsiTheme="minorHAnsi"/>
          <w:b/>
          <w:bCs/>
          <w:sz w:val="40"/>
          <w:szCs w:val="22"/>
        </w:rPr>
        <w:t>7</w:t>
      </w:r>
      <w:r w:rsidRPr="00100D24">
        <w:rPr>
          <w:rFonts w:asciiTheme="minorHAnsi" w:hAnsiTheme="minorHAnsi"/>
          <w:b/>
          <w:bCs/>
          <w:sz w:val="40"/>
          <w:szCs w:val="22"/>
        </w:rPr>
        <w:t xml:space="preserve"> </w:t>
      </w:r>
    </w:p>
    <w:p w14:paraId="7CFAABC4" w14:textId="77777777" w:rsidR="006421E4" w:rsidRPr="00100D24" w:rsidRDefault="006421E4" w:rsidP="00F84B2D">
      <w:pPr>
        <w:pStyle w:val="Default"/>
        <w:ind w:right="-41"/>
        <w:jc w:val="center"/>
        <w:rPr>
          <w:rFonts w:asciiTheme="minorHAnsi" w:hAnsiTheme="minorHAnsi"/>
          <w:b/>
          <w:bCs/>
          <w:sz w:val="40"/>
          <w:szCs w:val="22"/>
        </w:rPr>
      </w:pPr>
    </w:p>
    <w:p w14:paraId="379C75B7" w14:textId="77777777" w:rsidR="006421E4" w:rsidRPr="00100D24" w:rsidRDefault="006421E4" w:rsidP="00F84B2D">
      <w:pPr>
        <w:pStyle w:val="Default"/>
        <w:ind w:right="-41"/>
        <w:jc w:val="center"/>
        <w:rPr>
          <w:rFonts w:asciiTheme="minorHAnsi" w:hAnsiTheme="minorHAnsi"/>
          <w:b/>
          <w:bCs/>
          <w:sz w:val="40"/>
          <w:szCs w:val="22"/>
        </w:rPr>
      </w:pPr>
    </w:p>
    <w:p w14:paraId="085CBC89" w14:textId="77777777" w:rsidR="006421E4" w:rsidRPr="00100D24" w:rsidRDefault="006421E4" w:rsidP="00F84B2D">
      <w:pPr>
        <w:pStyle w:val="Default"/>
        <w:ind w:right="-41"/>
        <w:jc w:val="center"/>
        <w:rPr>
          <w:rFonts w:asciiTheme="minorHAnsi" w:hAnsiTheme="minorHAnsi"/>
          <w:b/>
          <w:bCs/>
          <w:sz w:val="40"/>
          <w:szCs w:val="22"/>
        </w:rPr>
      </w:pPr>
    </w:p>
    <w:p w14:paraId="68B97915" w14:textId="77777777" w:rsidR="0004776F" w:rsidRDefault="007E5EBF" w:rsidP="00647F96">
      <w:pPr>
        <w:spacing w:after="0" w:line="240" w:lineRule="auto"/>
        <w:ind w:firstLine="720"/>
        <w:rPr>
          <w:rFonts w:ascii="Times New Roman" w:hAnsi="Times New Roman" w:cs="Times New Roman"/>
          <w:color w:val="000000" w:themeColor="text1"/>
          <w:sz w:val="24"/>
          <w:szCs w:val="24"/>
        </w:rPr>
      </w:pPr>
      <w:r w:rsidRPr="00647F96">
        <w:rPr>
          <w:rFonts w:ascii="Times New Roman" w:hAnsi="Times New Roman" w:cs="Times New Roman"/>
          <w:color w:val="000000" w:themeColor="text1"/>
          <w:sz w:val="24"/>
          <w:szCs w:val="24"/>
        </w:rPr>
        <w:lastRenderedPageBreak/>
        <w:t xml:space="preserve">This document serves as a reference for handling Category </w:t>
      </w:r>
      <w:r w:rsidR="0072516E">
        <w:rPr>
          <w:rFonts w:ascii="Times New Roman" w:hAnsi="Times New Roman" w:cs="Times New Roman"/>
          <w:color w:val="000000" w:themeColor="text1"/>
          <w:sz w:val="24"/>
          <w:szCs w:val="24"/>
        </w:rPr>
        <w:t>‘</w:t>
      </w:r>
      <w:r w:rsidRPr="00647F96">
        <w:rPr>
          <w:rFonts w:ascii="Times New Roman" w:hAnsi="Times New Roman" w:cs="Times New Roman"/>
          <w:color w:val="000000" w:themeColor="text1"/>
          <w:sz w:val="24"/>
          <w:szCs w:val="24"/>
        </w:rPr>
        <w:t>A</w:t>
      </w:r>
      <w:r w:rsidR="0072516E">
        <w:rPr>
          <w:rFonts w:ascii="Times New Roman" w:hAnsi="Times New Roman" w:cs="Times New Roman"/>
          <w:color w:val="000000" w:themeColor="text1"/>
          <w:sz w:val="24"/>
          <w:szCs w:val="24"/>
        </w:rPr>
        <w:t>’</w:t>
      </w:r>
      <w:r w:rsidRPr="00647F96">
        <w:rPr>
          <w:rFonts w:ascii="Times New Roman" w:hAnsi="Times New Roman" w:cs="Times New Roman"/>
          <w:color w:val="000000" w:themeColor="text1"/>
          <w:sz w:val="24"/>
          <w:szCs w:val="24"/>
        </w:rPr>
        <w:t xml:space="preserve"> infectious substances safely in both the hospital setting as well as for EMS. </w:t>
      </w:r>
      <w:r w:rsidR="007E0878">
        <w:rPr>
          <w:rFonts w:ascii="Times New Roman" w:hAnsi="Times New Roman" w:cs="Times New Roman"/>
          <w:color w:val="000000" w:themeColor="text1"/>
          <w:sz w:val="24"/>
          <w:szCs w:val="24"/>
        </w:rPr>
        <w:t>Hospitals and EMS are required to have a waste management plan that addresses the handling of highly infectious substances.</w:t>
      </w:r>
    </w:p>
    <w:p w14:paraId="2E670601" w14:textId="77777777" w:rsidR="00647F96" w:rsidRPr="00647F96" w:rsidRDefault="00647F96" w:rsidP="00647F96">
      <w:pPr>
        <w:spacing w:after="0" w:line="240" w:lineRule="auto"/>
        <w:ind w:firstLine="720"/>
        <w:rPr>
          <w:rFonts w:ascii="Times New Roman" w:hAnsi="Times New Roman" w:cs="Times New Roman"/>
          <w:color w:val="000000" w:themeColor="text1"/>
          <w:sz w:val="24"/>
          <w:szCs w:val="24"/>
        </w:rPr>
      </w:pPr>
    </w:p>
    <w:p w14:paraId="415E1301" w14:textId="77777777" w:rsidR="007E5EBF" w:rsidRPr="00F667A1" w:rsidRDefault="007E5EBF" w:rsidP="00647F96">
      <w:pPr>
        <w:spacing w:after="0" w:line="240" w:lineRule="auto"/>
        <w:jc w:val="both"/>
        <w:rPr>
          <w:rFonts w:ascii="Times New Roman" w:hAnsi="Times New Roman" w:cs="Times New Roman"/>
          <w:b/>
          <w:color w:val="4BACC6" w:themeColor="accent5"/>
          <w:sz w:val="36"/>
          <w:szCs w:val="36"/>
        </w:rPr>
      </w:pPr>
      <w:r w:rsidRPr="00F667A1">
        <w:rPr>
          <w:rFonts w:ascii="Times New Roman" w:hAnsi="Times New Roman" w:cs="Times New Roman"/>
          <w:b/>
          <w:color w:val="4BACC6" w:themeColor="accent5"/>
          <w:sz w:val="36"/>
          <w:szCs w:val="36"/>
        </w:rPr>
        <w:t xml:space="preserve">What Constitutes Category </w:t>
      </w:r>
      <w:r w:rsidR="0072516E">
        <w:rPr>
          <w:rFonts w:ascii="Times New Roman" w:hAnsi="Times New Roman" w:cs="Times New Roman"/>
          <w:b/>
          <w:color w:val="4BACC6" w:themeColor="accent5"/>
          <w:sz w:val="36"/>
          <w:szCs w:val="36"/>
        </w:rPr>
        <w:t>‘</w:t>
      </w:r>
      <w:r w:rsidRPr="00F667A1">
        <w:rPr>
          <w:rFonts w:ascii="Times New Roman" w:hAnsi="Times New Roman" w:cs="Times New Roman"/>
          <w:b/>
          <w:color w:val="4BACC6" w:themeColor="accent5"/>
          <w:sz w:val="36"/>
          <w:szCs w:val="36"/>
        </w:rPr>
        <w:t>A</w:t>
      </w:r>
      <w:r w:rsidR="0072516E">
        <w:rPr>
          <w:rFonts w:ascii="Times New Roman" w:hAnsi="Times New Roman" w:cs="Times New Roman"/>
          <w:b/>
          <w:color w:val="4BACC6" w:themeColor="accent5"/>
          <w:sz w:val="36"/>
          <w:szCs w:val="36"/>
        </w:rPr>
        <w:t>’</w:t>
      </w:r>
      <w:r w:rsidRPr="00F667A1">
        <w:rPr>
          <w:rFonts w:ascii="Times New Roman" w:hAnsi="Times New Roman" w:cs="Times New Roman"/>
          <w:b/>
          <w:color w:val="4BACC6" w:themeColor="accent5"/>
          <w:sz w:val="36"/>
          <w:szCs w:val="36"/>
        </w:rPr>
        <w:t xml:space="preserve"> Agents</w:t>
      </w:r>
    </w:p>
    <w:p w14:paraId="510BE182" w14:textId="77777777" w:rsidR="00647F96" w:rsidRPr="00647F96" w:rsidRDefault="00647F96" w:rsidP="00647F96">
      <w:pPr>
        <w:spacing w:after="0" w:line="240" w:lineRule="auto"/>
        <w:jc w:val="both"/>
        <w:rPr>
          <w:rFonts w:ascii="Times New Roman" w:hAnsi="Times New Roman" w:cs="Times New Roman"/>
          <w:b/>
          <w:color w:val="4BACC6" w:themeColor="accent5"/>
          <w:sz w:val="24"/>
          <w:szCs w:val="24"/>
        </w:rPr>
      </w:pPr>
    </w:p>
    <w:p w14:paraId="4FD71164" w14:textId="77777777" w:rsidR="007E5EBF" w:rsidRDefault="007E5EBF" w:rsidP="00647F96">
      <w:pPr>
        <w:spacing w:after="0" w:line="240" w:lineRule="auto"/>
        <w:rPr>
          <w:rFonts w:ascii="Times New Roman" w:hAnsi="Times New Roman" w:cs="Times New Roman"/>
          <w:color w:val="000000" w:themeColor="text1"/>
          <w:sz w:val="24"/>
          <w:szCs w:val="24"/>
        </w:rPr>
      </w:pPr>
      <w:r w:rsidRPr="00647F96">
        <w:rPr>
          <w:rFonts w:ascii="Times New Roman" w:hAnsi="Times New Roman" w:cs="Times New Roman"/>
          <w:color w:val="000000" w:themeColor="text1"/>
          <w:sz w:val="24"/>
          <w:szCs w:val="24"/>
        </w:rPr>
        <w:tab/>
        <w:t xml:space="preserve">The Centers for Disease Control (CDC) defines Category </w:t>
      </w:r>
      <w:r w:rsidR="0072516E">
        <w:rPr>
          <w:rFonts w:ascii="Times New Roman" w:hAnsi="Times New Roman" w:cs="Times New Roman"/>
          <w:color w:val="000000" w:themeColor="text1"/>
          <w:sz w:val="24"/>
          <w:szCs w:val="24"/>
        </w:rPr>
        <w:t>‘</w:t>
      </w:r>
      <w:r w:rsidRPr="00647F96">
        <w:rPr>
          <w:rFonts w:ascii="Times New Roman" w:hAnsi="Times New Roman" w:cs="Times New Roman"/>
          <w:color w:val="000000" w:themeColor="text1"/>
          <w:sz w:val="24"/>
          <w:szCs w:val="24"/>
        </w:rPr>
        <w:t>A</w:t>
      </w:r>
      <w:r w:rsidR="0072516E">
        <w:rPr>
          <w:rFonts w:ascii="Times New Roman" w:hAnsi="Times New Roman" w:cs="Times New Roman"/>
          <w:color w:val="000000" w:themeColor="text1"/>
          <w:sz w:val="24"/>
          <w:szCs w:val="24"/>
        </w:rPr>
        <w:t>’</w:t>
      </w:r>
      <w:r w:rsidRPr="00647F96">
        <w:rPr>
          <w:rFonts w:ascii="Times New Roman" w:hAnsi="Times New Roman" w:cs="Times New Roman"/>
          <w:color w:val="000000" w:themeColor="text1"/>
          <w:sz w:val="24"/>
          <w:szCs w:val="24"/>
        </w:rPr>
        <w:t xml:space="preserve"> agents as high-priority organisms that may pose a risk to national security because they can be easily transmitted from person to person, have the potential to result in high mortality rates and public health impact, and can cause public/social panic and/or disruption. Category </w:t>
      </w:r>
      <w:r w:rsidR="0072516E">
        <w:rPr>
          <w:rFonts w:ascii="Times New Roman" w:hAnsi="Times New Roman" w:cs="Times New Roman"/>
          <w:color w:val="000000" w:themeColor="text1"/>
          <w:sz w:val="24"/>
          <w:szCs w:val="24"/>
        </w:rPr>
        <w:t>‘</w:t>
      </w:r>
      <w:r w:rsidRPr="00647F96">
        <w:rPr>
          <w:rFonts w:ascii="Times New Roman" w:hAnsi="Times New Roman" w:cs="Times New Roman"/>
          <w:color w:val="000000" w:themeColor="text1"/>
          <w:sz w:val="24"/>
          <w:szCs w:val="24"/>
        </w:rPr>
        <w:t>A</w:t>
      </w:r>
      <w:r w:rsidR="0072516E">
        <w:rPr>
          <w:rFonts w:ascii="Times New Roman" w:hAnsi="Times New Roman" w:cs="Times New Roman"/>
          <w:color w:val="000000" w:themeColor="text1"/>
          <w:sz w:val="24"/>
          <w:szCs w:val="24"/>
        </w:rPr>
        <w:t>’</w:t>
      </w:r>
      <w:r w:rsidRPr="00647F96">
        <w:rPr>
          <w:rFonts w:ascii="Times New Roman" w:hAnsi="Times New Roman" w:cs="Times New Roman"/>
          <w:color w:val="000000" w:themeColor="text1"/>
          <w:sz w:val="24"/>
          <w:szCs w:val="24"/>
        </w:rPr>
        <w:t xml:space="preserve"> agents include:</w:t>
      </w:r>
    </w:p>
    <w:p w14:paraId="08C30904" w14:textId="77777777" w:rsidR="00647F96" w:rsidRPr="00647F96" w:rsidRDefault="00647F96" w:rsidP="00647F96">
      <w:pPr>
        <w:spacing w:after="0" w:line="240" w:lineRule="auto"/>
        <w:rPr>
          <w:rFonts w:ascii="Times New Roman" w:hAnsi="Times New Roman" w:cs="Times New Roman"/>
          <w:color w:val="000000" w:themeColor="text1"/>
          <w:sz w:val="24"/>
          <w:szCs w:val="24"/>
        </w:rPr>
      </w:pPr>
    </w:p>
    <w:p w14:paraId="3D3D9035" w14:textId="77777777" w:rsidR="007E5EBF" w:rsidRPr="00647F96" w:rsidRDefault="007E5EBF" w:rsidP="00647F96">
      <w:pPr>
        <w:pStyle w:val="ListParagraph"/>
        <w:numPr>
          <w:ilvl w:val="0"/>
          <w:numId w:val="1"/>
        </w:numPr>
        <w:rPr>
          <w:rFonts w:ascii="Times New Roman" w:hAnsi="Times New Roman" w:cs="Times New Roman"/>
          <w:color w:val="000000" w:themeColor="text1"/>
        </w:rPr>
      </w:pPr>
      <w:r w:rsidRPr="00647F96">
        <w:rPr>
          <w:rFonts w:ascii="Times New Roman" w:hAnsi="Times New Roman" w:cs="Times New Roman"/>
          <w:color w:val="000000" w:themeColor="text1"/>
        </w:rPr>
        <w:t>Anthrax (</w:t>
      </w:r>
      <w:r w:rsidRPr="00647F96">
        <w:rPr>
          <w:rFonts w:ascii="Times New Roman" w:hAnsi="Times New Roman" w:cs="Times New Roman"/>
          <w:i/>
          <w:color w:val="000000" w:themeColor="text1"/>
        </w:rPr>
        <w:t>Bacillus anthracis)</w:t>
      </w:r>
    </w:p>
    <w:p w14:paraId="7DD20C1B" w14:textId="77777777" w:rsidR="007E5EBF" w:rsidRPr="00647F96" w:rsidRDefault="007E5EBF" w:rsidP="00647F96">
      <w:pPr>
        <w:pStyle w:val="ListParagraph"/>
        <w:numPr>
          <w:ilvl w:val="0"/>
          <w:numId w:val="1"/>
        </w:numPr>
        <w:rPr>
          <w:rFonts w:ascii="Times New Roman" w:hAnsi="Times New Roman" w:cs="Times New Roman"/>
          <w:color w:val="000000" w:themeColor="text1"/>
        </w:rPr>
      </w:pPr>
      <w:r w:rsidRPr="00647F96">
        <w:rPr>
          <w:rFonts w:ascii="Times New Roman" w:hAnsi="Times New Roman" w:cs="Times New Roman"/>
          <w:color w:val="000000" w:themeColor="text1"/>
        </w:rPr>
        <w:t>Botulism (</w:t>
      </w:r>
      <w:r w:rsidRPr="00647F96">
        <w:rPr>
          <w:rFonts w:ascii="Times New Roman" w:hAnsi="Times New Roman" w:cs="Times New Roman"/>
          <w:i/>
          <w:color w:val="000000" w:themeColor="text1"/>
        </w:rPr>
        <w:t xml:space="preserve">Clostridium botulinum </w:t>
      </w:r>
      <w:r w:rsidRPr="00647F96">
        <w:rPr>
          <w:rFonts w:ascii="Times New Roman" w:hAnsi="Times New Roman" w:cs="Times New Roman"/>
          <w:color w:val="000000" w:themeColor="text1"/>
        </w:rPr>
        <w:t>toxin)</w:t>
      </w:r>
    </w:p>
    <w:p w14:paraId="7E275341" w14:textId="77777777" w:rsidR="007E5EBF" w:rsidRPr="00647F96" w:rsidRDefault="007E5EBF" w:rsidP="00647F96">
      <w:pPr>
        <w:pStyle w:val="ListParagraph"/>
        <w:numPr>
          <w:ilvl w:val="0"/>
          <w:numId w:val="1"/>
        </w:numPr>
        <w:rPr>
          <w:rFonts w:ascii="Times New Roman" w:hAnsi="Times New Roman" w:cs="Times New Roman"/>
          <w:color w:val="000000" w:themeColor="text1"/>
        </w:rPr>
      </w:pPr>
      <w:r w:rsidRPr="00647F96">
        <w:rPr>
          <w:rFonts w:ascii="Times New Roman" w:hAnsi="Times New Roman" w:cs="Times New Roman"/>
          <w:color w:val="000000" w:themeColor="text1"/>
        </w:rPr>
        <w:t>Plague (</w:t>
      </w:r>
      <w:r w:rsidRPr="00647F96">
        <w:rPr>
          <w:rFonts w:ascii="Times New Roman" w:hAnsi="Times New Roman" w:cs="Times New Roman"/>
          <w:i/>
          <w:color w:val="000000" w:themeColor="text1"/>
        </w:rPr>
        <w:t>Yersinia pestis)</w:t>
      </w:r>
    </w:p>
    <w:p w14:paraId="45B1D0BC" w14:textId="77777777" w:rsidR="007E5EBF" w:rsidRPr="00647F96" w:rsidRDefault="007E5EBF" w:rsidP="00647F96">
      <w:pPr>
        <w:pStyle w:val="ListParagraph"/>
        <w:numPr>
          <w:ilvl w:val="0"/>
          <w:numId w:val="1"/>
        </w:numPr>
        <w:rPr>
          <w:rFonts w:ascii="Times New Roman" w:hAnsi="Times New Roman" w:cs="Times New Roman"/>
          <w:color w:val="000000" w:themeColor="text1"/>
        </w:rPr>
      </w:pPr>
      <w:r w:rsidRPr="00647F96">
        <w:rPr>
          <w:rFonts w:ascii="Times New Roman" w:hAnsi="Times New Roman" w:cs="Times New Roman"/>
          <w:color w:val="000000" w:themeColor="text1"/>
        </w:rPr>
        <w:t>Smallpox (variola major)</w:t>
      </w:r>
    </w:p>
    <w:p w14:paraId="51A19A55" w14:textId="77777777" w:rsidR="007E5EBF" w:rsidRPr="00647F96" w:rsidRDefault="007E5EBF" w:rsidP="00647F96">
      <w:pPr>
        <w:pStyle w:val="ListParagraph"/>
        <w:numPr>
          <w:ilvl w:val="0"/>
          <w:numId w:val="1"/>
        </w:numPr>
        <w:rPr>
          <w:rFonts w:ascii="Times New Roman" w:hAnsi="Times New Roman" w:cs="Times New Roman"/>
          <w:color w:val="000000" w:themeColor="text1"/>
        </w:rPr>
      </w:pPr>
      <w:r w:rsidRPr="00647F96">
        <w:rPr>
          <w:rFonts w:ascii="Times New Roman" w:hAnsi="Times New Roman" w:cs="Times New Roman"/>
          <w:color w:val="000000" w:themeColor="text1"/>
        </w:rPr>
        <w:t>Tularemia (</w:t>
      </w:r>
      <w:proofErr w:type="spellStart"/>
      <w:r w:rsidRPr="00647F96">
        <w:rPr>
          <w:rFonts w:ascii="Times New Roman" w:hAnsi="Times New Roman" w:cs="Times New Roman"/>
          <w:i/>
          <w:color w:val="000000" w:themeColor="text1"/>
        </w:rPr>
        <w:t>Francisella</w:t>
      </w:r>
      <w:proofErr w:type="spellEnd"/>
      <w:r w:rsidRPr="00647F96">
        <w:rPr>
          <w:rFonts w:ascii="Times New Roman" w:hAnsi="Times New Roman" w:cs="Times New Roman"/>
          <w:i/>
          <w:color w:val="000000" w:themeColor="text1"/>
        </w:rPr>
        <w:t xml:space="preserve"> </w:t>
      </w:r>
      <w:proofErr w:type="spellStart"/>
      <w:r w:rsidRPr="00647F96">
        <w:rPr>
          <w:rFonts w:ascii="Times New Roman" w:hAnsi="Times New Roman" w:cs="Times New Roman"/>
          <w:i/>
          <w:color w:val="000000" w:themeColor="text1"/>
        </w:rPr>
        <w:t>tularensis</w:t>
      </w:r>
      <w:proofErr w:type="spellEnd"/>
      <w:r w:rsidRPr="00647F96">
        <w:rPr>
          <w:rFonts w:ascii="Times New Roman" w:hAnsi="Times New Roman" w:cs="Times New Roman"/>
          <w:i/>
          <w:color w:val="000000" w:themeColor="text1"/>
        </w:rPr>
        <w:t>)</w:t>
      </w:r>
    </w:p>
    <w:p w14:paraId="3FAA8725" w14:textId="77777777" w:rsidR="007E5EBF" w:rsidRDefault="007E5EBF" w:rsidP="00647F96">
      <w:pPr>
        <w:pStyle w:val="ListParagraph"/>
        <w:numPr>
          <w:ilvl w:val="0"/>
          <w:numId w:val="1"/>
        </w:numPr>
        <w:rPr>
          <w:rFonts w:ascii="Times New Roman" w:hAnsi="Times New Roman" w:cs="Times New Roman"/>
          <w:color w:val="000000" w:themeColor="text1"/>
        </w:rPr>
      </w:pPr>
      <w:r w:rsidRPr="00647F96">
        <w:rPr>
          <w:rFonts w:ascii="Times New Roman" w:hAnsi="Times New Roman" w:cs="Times New Roman"/>
          <w:color w:val="000000" w:themeColor="text1"/>
        </w:rPr>
        <w:t xml:space="preserve">Viral hemorrhagic fevers (filoviruses [e.g., Ebola, </w:t>
      </w:r>
      <w:proofErr w:type="spellStart"/>
      <w:r w:rsidRPr="00647F96">
        <w:rPr>
          <w:rFonts w:ascii="Times New Roman" w:hAnsi="Times New Roman" w:cs="Times New Roman"/>
          <w:color w:val="000000" w:themeColor="text1"/>
        </w:rPr>
        <w:t>Manburg</w:t>
      </w:r>
      <w:proofErr w:type="spellEnd"/>
      <w:r w:rsidRPr="00647F96">
        <w:rPr>
          <w:rFonts w:ascii="Times New Roman" w:hAnsi="Times New Roman" w:cs="Times New Roman"/>
          <w:color w:val="000000" w:themeColor="text1"/>
        </w:rPr>
        <w:t xml:space="preserve">] and arenaviruses [e.g., Lassa, </w:t>
      </w:r>
      <w:proofErr w:type="spellStart"/>
      <w:r w:rsidRPr="00647F96">
        <w:rPr>
          <w:rFonts w:ascii="Times New Roman" w:hAnsi="Times New Roman" w:cs="Times New Roman"/>
          <w:color w:val="000000" w:themeColor="text1"/>
        </w:rPr>
        <w:t>Machupo</w:t>
      </w:r>
      <w:proofErr w:type="spellEnd"/>
      <w:r w:rsidRPr="00647F96">
        <w:rPr>
          <w:rFonts w:ascii="Times New Roman" w:hAnsi="Times New Roman" w:cs="Times New Roman"/>
          <w:color w:val="000000" w:themeColor="text1"/>
        </w:rPr>
        <w:t>])</w:t>
      </w:r>
    </w:p>
    <w:p w14:paraId="0C0F6F3C" w14:textId="77777777" w:rsidR="00647F96" w:rsidRPr="00647F96" w:rsidRDefault="00647F96" w:rsidP="00647F96">
      <w:pPr>
        <w:pStyle w:val="ListParagraph"/>
        <w:rPr>
          <w:rFonts w:ascii="Times New Roman" w:hAnsi="Times New Roman" w:cs="Times New Roman"/>
          <w:color w:val="000000" w:themeColor="text1"/>
        </w:rPr>
      </w:pPr>
    </w:p>
    <w:p w14:paraId="472B0DA3" w14:textId="77777777" w:rsidR="007E5EBF" w:rsidRPr="00647F96" w:rsidRDefault="0067161B" w:rsidP="00647F96">
      <w:pPr>
        <w:spacing w:after="0" w:line="240" w:lineRule="auto"/>
        <w:ind w:firstLine="360"/>
        <w:rPr>
          <w:rStyle w:val="Hyperlink"/>
          <w:rFonts w:ascii="Times New Roman" w:hAnsi="Times New Roman" w:cs="Times New Roman"/>
          <w:sz w:val="24"/>
          <w:szCs w:val="24"/>
        </w:rPr>
      </w:pPr>
      <w:hyperlink r:id="rId8" w:history="1">
        <w:r w:rsidR="007E5EBF" w:rsidRPr="00647F96">
          <w:rPr>
            <w:rStyle w:val="Hyperlink"/>
            <w:rFonts w:ascii="Times New Roman" w:hAnsi="Times New Roman" w:cs="Times New Roman"/>
            <w:sz w:val="24"/>
            <w:szCs w:val="24"/>
          </w:rPr>
          <w:t>https://www.cdc.gov/phpr/publications/2008/appendix6.pdf</w:t>
        </w:r>
      </w:hyperlink>
    </w:p>
    <w:p w14:paraId="59B712EF" w14:textId="77777777" w:rsidR="0004776F" w:rsidRDefault="0004776F" w:rsidP="00647F96">
      <w:pPr>
        <w:spacing w:after="0" w:line="240" w:lineRule="auto"/>
        <w:rPr>
          <w:rFonts w:ascii="Times New Roman" w:hAnsi="Times New Roman" w:cs="Times New Roman"/>
          <w:color w:val="000000" w:themeColor="text1"/>
          <w:sz w:val="24"/>
          <w:szCs w:val="24"/>
        </w:rPr>
      </w:pPr>
    </w:p>
    <w:p w14:paraId="5F5E4A2B" w14:textId="77777777" w:rsidR="00647F96" w:rsidRPr="00647F96" w:rsidRDefault="00647F96" w:rsidP="00647F96">
      <w:pPr>
        <w:spacing w:after="0" w:line="240" w:lineRule="auto"/>
        <w:rPr>
          <w:rFonts w:ascii="Times New Roman" w:hAnsi="Times New Roman" w:cs="Times New Roman"/>
          <w:color w:val="000000" w:themeColor="text1"/>
          <w:sz w:val="24"/>
          <w:szCs w:val="24"/>
        </w:rPr>
      </w:pPr>
    </w:p>
    <w:p w14:paraId="3F502A50" w14:textId="77777777" w:rsidR="007E5EBF" w:rsidRPr="00F667A1" w:rsidRDefault="0004776F" w:rsidP="00647F96">
      <w:pPr>
        <w:pStyle w:val="NormalWeb"/>
        <w:spacing w:before="0" w:beforeAutospacing="0" w:after="0" w:afterAutospacing="0"/>
        <w:rPr>
          <w:b/>
          <w:color w:val="4BACC6" w:themeColor="accent5"/>
          <w:sz w:val="36"/>
          <w:szCs w:val="36"/>
        </w:rPr>
      </w:pPr>
      <w:r w:rsidRPr="00F667A1">
        <w:rPr>
          <w:b/>
          <w:color w:val="4BACC6" w:themeColor="accent5"/>
          <w:sz w:val="36"/>
          <w:szCs w:val="36"/>
        </w:rPr>
        <w:t>Healthcare Facility Guidance</w:t>
      </w:r>
    </w:p>
    <w:p w14:paraId="01741EFA" w14:textId="77777777" w:rsidR="00647F96" w:rsidRPr="00647F96" w:rsidRDefault="00647F96" w:rsidP="00647F96">
      <w:pPr>
        <w:pStyle w:val="NormalWeb"/>
        <w:spacing w:before="0" w:beforeAutospacing="0" w:after="0" w:afterAutospacing="0"/>
        <w:rPr>
          <w:b/>
          <w:color w:val="4BACC6" w:themeColor="accent5"/>
        </w:rPr>
      </w:pPr>
    </w:p>
    <w:p w14:paraId="5ED4FD1D" w14:textId="77777777" w:rsidR="0004776F" w:rsidRDefault="0004776F" w:rsidP="00647F96">
      <w:pPr>
        <w:pStyle w:val="NormalWeb"/>
        <w:spacing w:before="0" w:beforeAutospacing="0" w:after="0" w:afterAutospacing="0"/>
        <w:ind w:firstLine="720"/>
        <w:rPr>
          <w:color w:val="000000" w:themeColor="text1"/>
        </w:rPr>
      </w:pPr>
      <w:r w:rsidRPr="00647F96">
        <w:rPr>
          <w:color w:val="000000" w:themeColor="text1"/>
        </w:rPr>
        <w:t xml:space="preserve">Category A infectious waste products contain highly infectious agents, contained within blood or bodily fluids (urine, saliva, sweat, feces, vomit, breast milk, and semen) from an infected person.  Contact via direct contact (through broken skin or mucous membranes such as eyes, nose, or mouth) with another person can spread the infection to others.  </w:t>
      </w:r>
    </w:p>
    <w:p w14:paraId="2BFF2664" w14:textId="77777777" w:rsidR="00107762" w:rsidRPr="00647F96" w:rsidRDefault="00107762" w:rsidP="00647F96">
      <w:pPr>
        <w:pStyle w:val="NormalWeb"/>
        <w:spacing w:before="0" w:beforeAutospacing="0" w:after="0" w:afterAutospacing="0"/>
        <w:ind w:firstLine="720"/>
        <w:rPr>
          <w:color w:val="000000" w:themeColor="text1"/>
        </w:rPr>
      </w:pPr>
    </w:p>
    <w:p w14:paraId="76709BFF" w14:textId="77777777" w:rsidR="0004776F" w:rsidRPr="00647F96" w:rsidRDefault="0004776F" w:rsidP="00A93FD1">
      <w:pPr>
        <w:pStyle w:val="NormalWeb"/>
        <w:spacing w:before="0" w:beforeAutospacing="0" w:after="0" w:afterAutospacing="0"/>
        <w:ind w:firstLine="720"/>
        <w:rPr>
          <w:color w:val="000000" w:themeColor="text1"/>
        </w:rPr>
      </w:pPr>
      <w:r w:rsidRPr="00647F96">
        <w:rPr>
          <w:color w:val="000000" w:themeColor="text1"/>
        </w:rPr>
        <w:t xml:space="preserve">Objects such as needles, syringes, personal protective equipment, or textiles that have been exposed to the highly infectious agent, may transmit the disease to another person. Therefore, proper disinfection and waste disposal practices are vital when healthcare workers are caring for a patient with a suspected or confirmed highly infectious disease. </w:t>
      </w:r>
    </w:p>
    <w:p w14:paraId="591D8563" w14:textId="77777777" w:rsidR="00A93FD1" w:rsidRDefault="00A93FD1" w:rsidP="00647F96">
      <w:pPr>
        <w:pStyle w:val="NormalWeb"/>
        <w:spacing w:before="0" w:beforeAutospacing="0" w:after="0" w:afterAutospacing="0"/>
        <w:rPr>
          <w:color w:val="000000" w:themeColor="text1"/>
        </w:rPr>
      </w:pPr>
    </w:p>
    <w:p w14:paraId="5C931BA0" w14:textId="77777777" w:rsidR="0004776F" w:rsidRDefault="0004776F" w:rsidP="00A93FD1">
      <w:pPr>
        <w:pStyle w:val="NormalWeb"/>
        <w:spacing w:before="0" w:beforeAutospacing="0" w:after="0" w:afterAutospacing="0"/>
        <w:ind w:firstLine="720"/>
        <w:rPr>
          <w:color w:val="000000" w:themeColor="text1"/>
        </w:rPr>
      </w:pPr>
      <w:r w:rsidRPr="00647F96">
        <w:rPr>
          <w:color w:val="000000" w:themeColor="text1"/>
        </w:rPr>
        <w:t xml:space="preserve">NOTE: Handling suspected or confirmed </w:t>
      </w:r>
      <w:r w:rsidR="00647F96" w:rsidRPr="00647F96">
        <w:rPr>
          <w:color w:val="000000" w:themeColor="text1"/>
        </w:rPr>
        <w:t>highly infectious disease</w:t>
      </w:r>
      <w:r w:rsidRPr="00647F96">
        <w:rPr>
          <w:color w:val="000000" w:themeColor="text1"/>
        </w:rPr>
        <w:t>-associated waste should be done with strict guidelines to handling, transport, and disposal. However, if a treated pat</w:t>
      </w:r>
      <w:r w:rsidR="00647F96" w:rsidRPr="00647F96">
        <w:rPr>
          <w:color w:val="000000" w:themeColor="text1"/>
        </w:rPr>
        <w:t>ient is no longer considered a</w:t>
      </w:r>
      <w:r w:rsidRPr="00647F96">
        <w:rPr>
          <w:color w:val="000000" w:themeColor="text1"/>
        </w:rPr>
        <w:t xml:space="preserve"> </w:t>
      </w:r>
      <w:r w:rsidR="00647F96" w:rsidRPr="00647F96">
        <w:rPr>
          <w:color w:val="000000" w:themeColor="text1"/>
        </w:rPr>
        <w:t>highly infectious disease</w:t>
      </w:r>
      <w:r w:rsidRPr="00647F96">
        <w:rPr>
          <w:color w:val="000000" w:themeColor="text1"/>
        </w:rPr>
        <w:t xml:space="preserve"> risk patient, then any waste generated for the remainder of the patient's care should be treated as regulated medical waste as set forth by the healthcare facility’s guidelines for waste disposal. </w:t>
      </w:r>
    </w:p>
    <w:p w14:paraId="1297C236" w14:textId="77777777" w:rsidR="00A93FD1" w:rsidRDefault="00A93FD1" w:rsidP="00A93FD1">
      <w:pPr>
        <w:pStyle w:val="NormalWeb"/>
        <w:spacing w:before="0" w:beforeAutospacing="0" w:after="0" w:afterAutospacing="0"/>
        <w:ind w:firstLine="720"/>
        <w:rPr>
          <w:color w:val="000000" w:themeColor="text1"/>
        </w:rPr>
      </w:pPr>
    </w:p>
    <w:p w14:paraId="63025979" w14:textId="77777777" w:rsidR="00A93FD1" w:rsidRPr="00647F96" w:rsidRDefault="00A93FD1" w:rsidP="00A93FD1">
      <w:pPr>
        <w:pStyle w:val="NormalWeb"/>
        <w:spacing w:before="0" w:beforeAutospacing="0" w:after="0" w:afterAutospacing="0"/>
        <w:ind w:firstLine="720"/>
        <w:rPr>
          <w:color w:val="000000" w:themeColor="text1"/>
        </w:rPr>
      </w:pPr>
    </w:p>
    <w:p w14:paraId="6C2F5836" w14:textId="77777777" w:rsidR="0004776F" w:rsidRDefault="00A93FD1" w:rsidP="00647F96">
      <w:pPr>
        <w:pStyle w:val="NormalWeb"/>
        <w:spacing w:before="0" w:beforeAutospacing="0" w:after="0" w:afterAutospacing="0"/>
        <w:rPr>
          <w:b/>
          <w:color w:val="000000" w:themeColor="text1"/>
        </w:rPr>
      </w:pPr>
      <w:r>
        <w:rPr>
          <w:b/>
          <w:color w:val="000000" w:themeColor="text1"/>
        </w:rPr>
        <w:t>Isolation and Management o</w:t>
      </w:r>
      <w:r w:rsidRPr="00647F96">
        <w:rPr>
          <w:b/>
          <w:color w:val="000000" w:themeColor="text1"/>
        </w:rPr>
        <w:t xml:space="preserve">f Highly Infectious Disease-Contaminated Solid Medical Waste </w:t>
      </w:r>
    </w:p>
    <w:p w14:paraId="6F5806FA" w14:textId="77777777" w:rsidR="00A93FD1" w:rsidRPr="00647F96" w:rsidRDefault="00A93FD1" w:rsidP="00647F96">
      <w:pPr>
        <w:pStyle w:val="NormalWeb"/>
        <w:spacing w:before="0" w:beforeAutospacing="0" w:after="0" w:afterAutospacing="0"/>
        <w:rPr>
          <w:b/>
          <w:color w:val="000000" w:themeColor="text1"/>
        </w:rPr>
      </w:pPr>
    </w:p>
    <w:p w14:paraId="1F108C4C" w14:textId="77777777" w:rsidR="0004776F" w:rsidRDefault="0004776F" w:rsidP="00A93FD1">
      <w:pPr>
        <w:pStyle w:val="NormalWeb"/>
        <w:spacing w:before="0" w:beforeAutospacing="0" w:after="0" w:afterAutospacing="0"/>
        <w:ind w:firstLine="720"/>
        <w:rPr>
          <w:color w:val="000000" w:themeColor="text1"/>
        </w:rPr>
      </w:pPr>
      <w:r w:rsidRPr="00647F96">
        <w:rPr>
          <w:color w:val="000000" w:themeColor="text1"/>
        </w:rPr>
        <w:t xml:space="preserve">Medical waste contaminated with </w:t>
      </w:r>
      <w:r w:rsidR="00A93FD1">
        <w:rPr>
          <w:color w:val="000000" w:themeColor="text1"/>
        </w:rPr>
        <w:t>h</w:t>
      </w:r>
      <w:r w:rsidR="00647F96" w:rsidRPr="00647F96">
        <w:rPr>
          <w:color w:val="000000" w:themeColor="text1"/>
        </w:rPr>
        <w:t>ighly infectious disease</w:t>
      </w:r>
      <w:r w:rsidRPr="00647F96">
        <w:rPr>
          <w:color w:val="000000" w:themeColor="text1"/>
        </w:rPr>
        <w:t xml:space="preserve"> </w:t>
      </w:r>
      <w:r w:rsidR="00A93FD1">
        <w:rPr>
          <w:color w:val="000000" w:themeColor="text1"/>
        </w:rPr>
        <w:t>contaminants</w:t>
      </w:r>
      <w:r w:rsidRPr="00647F96">
        <w:rPr>
          <w:color w:val="000000" w:themeColor="text1"/>
        </w:rPr>
        <w:t xml:space="preserve"> and any waste comingled with </w:t>
      </w:r>
      <w:r w:rsidR="00A93FD1">
        <w:rPr>
          <w:color w:val="000000" w:themeColor="text1"/>
        </w:rPr>
        <w:t>h</w:t>
      </w:r>
      <w:r w:rsidR="00647F96" w:rsidRPr="00647F96">
        <w:rPr>
          <w:color w:val="000000" w:themeColor="text1"/>
        </w:rPr>
        <w:t>ighly infectious disease</w:t>
      </w:r>
      <w:r w:rsidRPr="00647F96">
        <w:rPr>
          <w:color w:val="000000" w:themeColor="text1"/>
        </w:rPr>
        <w:t xml:space="preserve">-contaminated waste must be kept isolated from and disposed of separately from other regulated medical waste. </w:t>
      </w:r>
    </w:p>
    <w:p w14:paraId="58E3139A" w14:textId="77777777" w:rsidR="00A93FD1" w:rsidRPr="00647F96" w:rsidRDefault="00A93FD1" w:rsidP="00A93FD1">
      <w:pPr>
        <w:pStyle w:val="NormalWeb"/>
        <w:spacing w:before="0" w:beforeAutospacing="0" w:after="0" w:afterAutospacing="0"/>
        <w:ind w:firstLine="720"/>
        <w:rPr>
          <w:color w:val="000000" w:themeColor="text1"/>
        </w:rPr>
      </w:pPr>
    </w:p>
    <w:p w14:paraId="1A73EC8A" w14:textId="77777777" w:rsidR="00A93FD1" w:rsidRDefault="0004776F" w:rsidP="00A93FD1">
      <w:pPr>
        <w:pStyle w:val="NormalWeb"/>
        <w:spacing w:before="0" w:beforeAutospacing="0" w:after="0" w:afterAutospacing="0"/>
        <w:ind w:left="720"/>
        <w:rPr>
          <w:color w:val="000000" w:themeColor="text1"/>
        </w:rPr>
      </w:pPr>
      <w:r w:rsidRPr="00647F96">
        <w:rPr>
          <w:color w:val="000000" w:themeColor="text1"/>
        </w:rPr>
        <w:t xml:space="preserve">• Waste generated during the treatment of a suspected or confirmed </w:t>
      </w:r>
      <w:r w:rsidR="00A93FD1">
        <w:rPr>
          <w:color w:val="000000" w:themeColor="text1"/>
        </w:rPr>
        <w:t>h</w:t>
      </w:r>
      <w:r w:rsidR="00647F96" w:rsidRPr="00647F96">
        <w:rPr>
          <w:color w:val="000000" w:themeColor="text1"/>
        </w:rPr>
        <w:t>ighly infectious disease</w:t>
      </w:r>
      <w:r w:rsidRPr="00647F96">
        <w:rPr>
          <w:color w:val="000000" w:themeColor="text1"/>
        </w:rPr>
        <w:t xml:space="preserve"> patient should be collected in the patient's room or designated </w:t>
      </w:r>
      <w:proofErr w:type="gramStart"/>
      <w:r w:rsidRPr="00647F96">
        <w:rPr>
          <w:color w:val="000000" w:themeColor="text1"/>
        </w:rPr>
        <w:t>area, and</w:t>
      </w:r>
      <w:proofErr w:type="gramEnd"/>
      <w:r w:rsidRPr="00647F96">
        <w:rPr>
          <w:color w:val="000000" w:themeColor="text1"/>
        </w:rPr>
        <w:t xml:space="preserve"> identified as </w:t>
      </w:r>
      <w:r w:rsidR="00A93FD1">
        <w:rPr>
          <w:color w:val="000000" w:themeColor="text1"/>
        </w:rPr>
        <w:t>h</w:t>
      </w:r>
      <w:r w:rsidR="00647F96" w:rsidRPr="00647F96">
        <w:rPr>
          <w:color w:val="000000" w:themeColor="text1"/>
        </w:rPr>
        <w:t>ighly infectious disease</w:t>
      </w:r>
      <w:r w:rsidRPr="00647F96">
        <w:rPr>
          <w:color w:val="000000" w:themeColor="text1"/>
        </w:rPr>
        <w:t xml:space="preserve"> waste. </w:t>
      </w:r>
    </w:p>
    <w:p w14:paraId="6C462BB1" w14:textId="77777777" w:rsidR="00A93FD1" w:rsidRDefault="0004776F" w:rsidP="00A93FD1">
      <w:pPr>
        <w:pStyle w:val="NormalWeb"/>
        <w:spacing w:before="0" w:beforeAutospacing="0" w:after="0" w:afterAutospacing="0"/>
        <w:ind w:left="720"/>
        <w:rPr>
          <w:color w:val="000000" w:themeColor="text1"/>
        </w:rPr>
      </w:pPr>
      <w:r w:rsidRPr="00647F96">
        <w:rPr>
          <w:color w:val="000000" w:themeColor="text1"/>
        </w:rPr>
        <w:t xml:space="preserve">• All contaminated waste should be disposed of in a leak-proof bag that is initially placed in a rigid container to provide support and decrease contamination to the exterior of the waste bag.  </w:t>
      </w:r>
    </w:p>
    <w:p w14:paraId="5B072307" w14:textId="77777777" w:rsidR="00A93FD1" w:rsidRDefault="0004776F" w:rsidP="00A93FD1">
      <w:pPr>
        <w:pStyle w:val="NormalWeb"/>
        <w:spacing w:before="0" w:beforeAutospacing="0" w:after="0" w:afterAutospacing="0"/>
        <w:ind w:left="720"/>
        <w:rPr>
          <w:color w:val="000000" w:themeColor="text1"/>
        </w:rPr>
      </w:pPr>
      <w:r w:rsidRPr="00647F96">
        <w:rPr>
          <w:color w:val="000000" w:themeColor="text1"/>
        </w:rPr>
        <w:t xml:space="preserve">• This bag should be considered full when the waste receptacle has reached 75% capacity. • Prior to closure, treat the bagged waste with a non-aerosol liquid solution of U.S. EPA-registered hospital disinfectant with a label claim for a non-enveloped virus (e.g., norovirus, rotavirus, adenovirus, poliovirus) that is recommended by the CDC for use as a disinfectant for the </w:t>
      </w:r>
      <w:r w:rsidR="00A93FD1">
        <w:rPr>
          <w:color w:val="000000" w:themeColor="text1"/>
        </w:rPr>
        <w:t>h</w:t>
      </w:r>
      <w:r w:rsidR="00647F96" w:rsidRPr="00647F96">
        <w:rPr>
          <w:color w:val="000000" w:themeColor="text1"/>
        </w:rPr>
        <w:t>ighly infectious disease</w:t>
      </w:r>
      <w:r w:rsidRPr="00647F96">
        <w:rPr>
          <w:color w:val="000000" w:themeColor="text1"/>
        </w:rPr>
        <w:t xml:space="preserve"> virus. Use a small amount sufficient to coat the surface of the materials contained within the bag without creating free liquids in the bottom. Do not attempt to stir or mix contents. </w:t>
      </w:r>
    </w:p>
    <w:p w14:paraId="3BD7BBF4" w14:textId="77777777" w:rsidR="00A93FD1" w:rsidRDefault="0004776F" w:rsidP="00A93FD1">
      <w:pPr>
        <w:pStyle w:val="NormalWeb"/>
        <w:spacing w:before="0" w:beforeAutospacing="0" w:after="0" w:afterAutospacing="0"/>
        <w:ind w:left="720"/>
        <w:rPr>
          <w:color w:val="000000" w:themeColor="text1"/>
        </w:rPr>
      </w:pPr>
      <w:r w:rsidRPr="00647F96">
        <w:rPr>
          <w:color w:val="000000" w:themeColor="text1"/>
        </w:rPr>
        <w:t xml:space="preserve">• Tie off the top of the bag with a knot or equally effective means such as heat sealing, tape, or adhesive to ensure any liquid cannot leak from the packaging. </w:t>
      </w:r>
    </w:p>
    <w:p w14:paraId="5E525582" w14:textId="77777777" w:rsidR="00A93FD1" w:rsidRDefault="0004776F" w:rsidP="00A93FD1">
      <w:pPr>
        <w:pStyle w:val="NormalWeb"/>
        <w:spacing w:before="0" w:beforeAutospacing="0" w:after="0" w:afterAutospacing="0"/>
        <w:ind w:left="720"/>
        <w:rPr>
          <w:color w:val="000000" w:themeColor="text1"/>
        </w:rPr>
      </w:pPr>
      <w:r w:rsidRPr="00647F96">
        <w:rPr>
          <w:color w:val="000000" w:themeColor="text1"/>
        </w:rPr>
        <w:t xml:space="preserve">• Disinfect the exterior of the bag using bleach wipes or other non-aerosol liquid solution of U.S. EPA-registered hospital disinfectant with a label claim for a non-enveloped virus (e.g., norovirus, rotavirus, adenovirus, poliovirus) that is recommended by the CDC for use as a disinfectant for the </w:t>
      </w:r>
      <w:r w:rsidR="00647F96" w:rsidRPr="00647F96">
        <w:rPr>
          <w:color w:val="000000" w:themeColor="text1"/>
        </w:rPr>
        <w:t>Highly infectious disease</w:t>
      </w:r>
      <w:r w:rsidRPr="00647F96">
        <w:rPr>
          <w:color w:val="000000" w:themeColor="text1"/>
        </w:rPr>
        <w:t xml:space="preserve"> virus. </w:t>
      </w:r>
    </w:p>
    <w:p w14:paraId="17A73C36" w14:textId="77777777" w:rsidR="00A93FD1" w:rsidRDefault="0004776F" w:rsidP="00A93FD1">
      <w:pPr>
        <w:pStyle w:val="NormalWeb"/>
        <w:spacing w:before="0" w:beforeAutospacing="0" w:after="0" w:afterAutospacing="0"/>
        <w:ind w:left="720"/>
        <w:rPr>
          <w:color w:val="000000" w:themeColor="text1"/>
        </w:rPr>
      </w:pPr>
      <w:r w:rsidRPr="00647F96">
        <w:rPr>
          <w:color w:val="000000" w:themeColor="text1"/>
        </w:rPr>
        <w:t xml:space="preserve">• Place this bag in a secondary packaging and tie off the top of the bag with a knot or equally effective means such as heat sealing, tape, or adhesive to ensure any liquid cannot leak from the packaging. </w:t>
      </w:r>
    </w:p>
    <w:p w14:paraId="05BDB13F" w14:textId="77777777" w:rsidR="0004776F" w:rsidRPr="00647F96" w:rsidRDefault="0004776F" w:rsidP="00A93FD1">
      <w:pPr>
        <w:pStyle w:val="NormalWeb"/>
        <w:spacing w:before="0" w:beforeAutospacing="0" w:after="0" w:afterAutospacing="0"/>
        <w:ind w:left="720"/>
        <w:rPr>
          <w:color w:val="000000" w:themeColor="text1"/>
        </w:rPr>
      </w:pPr>
      <w:r w:rsidRPr="00647F96">
        <w:rPr>
          <w:color w:val="000000" w:themeColor="text1"/>
        </w:rPr>
        <w:t xml:space="preserve">• Disinfect the exterior of the secondary packaging using bleach wipes or other non-aerosol liquid solution U.S. EPA-registered hospital disinfectant with a label claim for a non-enveloped virus (e.g., norovirus, rotavirus, adenovirus, poliovirus) that is recommended by the CDC for use as a disinfectant for the </w:t>
      </w:r>
      <w:r w:rsidR="00647F96" w:rsidRPr="00647F96">
        <w:rPr>
          <w:color w:val="000000" w:themeColor="text1"/>
        </w:rPr>
        <w:t>Highly infectious disease</w:t>
      </w:r>
      <w:r w:rsidRPr="00647F96">
        <w:rPr>
          <w:color w:val="000000" w:themeColor="text1"/>
        </w:rPr>
        <w:t xml:space="preserve"> virus. </w:t>
      </w:r>
    </w:p>
    <w:p w14:paraId="59457841" w14:textId="77777777" w:rsidR="0004776F" w:rsidRPr="00647F96" w:rsidRDefault="0004776F" w:rsidP="00647F96">
      <w:pPr>
        <w:pStyle w:val="NormalWeb"/>
        <w:spacing w:before="0" w:beforeAutospacing="0" w:after="0" w:afterAutospacing="0"/>
        <w:rPr>
          <w:color w:val="000000" w:themeColor="text1"/>
        </w:rPr>
      </w:pPr>
      <w:r w:rsidRPr="00647F96">
        <w:rPr>
          <w:color w:val="000000" w:themeColor="text1"/>
        </w:rPr>
        <w:t xml:space="preserve"> </w:t>
      </w:r>
    </w:p>
    <w:p w14:paraId="5923428F" w14:textId="77777777" w:rsidR="0004776F" w:rsidRDefault="00A93FD1" w:rsidP="00647F96">
      <w:pPr>
        <w:pStyle w:val="NormalWeb"/>
        <w:spacing w:before="0" w:beforeAutospacing="0" w:after="0" w:afterAutospacing="0"/>
        <w:rPr>
          <w:b/>
          <w:color w:val="000000" w:themeColor="text1"/>
        </w:rPr>
      </w:pPr>
      <w:r w:rsidRPr="00A93FD1">
        <w:rPr>
          <w:b/>
          <w:color w:val="000000" w:themeColor="text1"/>
        </w:rPr>
        <w:t xml:space="preserve">Onsite Treatment of Highly Infectious Disease-Contaminated Solid Medical Waste </w:t>
      </w:r>
    </w:p>
    <w:p w14:paraId="38BD45D6" w14:textId="77777777" w:rsidR="00A93FD1" w:rsidRPr="00A93FD1" w:rsidRDefault="00A93FD1" w:rsidP="00647F96">
      <w:pPr>
        <w:pStyle w:val="NormalWeb"/>
        <w:spacing w:before="0" w:beforeAutospacing="0" w:after="0" w:afterAutospacing="0"/>
        <w:rPr>
          <w:b/>
          <w:color w:val="000000" w:themeColor="text1"/>
        </w:rPr>
      </w:pPr>
    </w:p>
    <w:p w14:paraId="502CED12" w14:textId="77777777" w:rsidR="0004776F" w:rsidRDefault="0004776F" w:rsidP="00A93FD1">
      <w:pPr>
        <w:pStyle w:val="NormalWeb"/>
        <w:spacing w:before="0" w:beforeAutospacing="0" w:after="0" w:afterAutospacing="0"/>
        <w:ind w:firstLine="720"/>
        <w:rPr>
          <w:color w:val="000000" w:themeColor="text1"/>
        </w:rPr>
      </w:pPr>
      <w:r w:rsidRPr="00647F96">
        <w:rPr>
          <w:color w:val="000000" w:themeColor="text1"/>
        </w:rPr>
        <w:t xml:space="preserve">Waste generated during the care of a suspected or confirmed </w:t>
      </w:r>
      <w:r w:rsidR="00A93FD1">
        <w:rPr>
          <w:color w:val="000000" w:themeColor="text1"/>
        </w:rPr>
        <w:t>h</w:t>
      </w:r>
      <w:r w:rsidR="00647F96" w:rsidRPr="00647F96">
        <w:rPr>
          <w:color w:val="000000" w:themeColor="text1"/>
        </w:rPr>
        <w:t>ighly infectious disease</w:t>
      </w:r>
      <w:r w:rsidRPr="00647F96">
        <w:rPr>
          <w:color w:val="000000" w:themeColor="text1"/>
        </w:rPr>
        <w:t xml:space="preserve"> patient can be treated onsite through inactivation or incineration. </w:t>
      </w:r>
    </w:p>
    <w:p w14:paraId="668FAC92" w14:textId="77777777" w:rsidR="007E0878" w:rsidRDefault="007E0878" w:rsidP="00A93FD1">
      <w:pPr>
        <w:pStyle w:val="NormalWeb"/>
        <w:spacing w:before="0" w:beforeAutospacing="0" w:after="0" w:afterAutospacing="0"/>
        <w:ind w:firstLine="720"/>
        <w:rPr>
          <w:color w:val="000000" w:themeColor="text1"/>
        </w:rPr>
      </w:pPr>
    </w:p>
    <w:p w14:paraId="30DC3F7F" w14:textId="77777777" w:rsidR="007E0878" w:rsidRDefault="007E0878" w:rsidP="00A93FD1">
      <w:pPr>
        <w:pStyle w:val="NormalWeb"/>
        <w:spacing w:before="0" w:beforeAutospacing="0" w:after="0" w:afterAutospacing="0"/>
        <w:ind w:firstLine="720"/>
        <w:rPr>
          <w:color w:val="000000" w:themeColor="text1"/>
        </w:rPr>
      </w:pPr>
    </w:p>
    <w:p w14:paraId="0C7CB88B" w14:textId="77777777" w:rsidR="00A93FD1" w:rsidRPr="00647F96" w:rsidRDefault="00A93FD1" w:rsidP="00A93FD1">
      <w:pPr>
        <w:pStyle w:val="NormalWeb"/>
        <w:spacing w:before="0" w:beforeAutospacing="0" w:after="0" w:afterAutospacing="0"/>
        <w:ind w:firstLine="720"/>
        <w:rPr>
          <w:color w:val="000000" w:themeColor="text1"/>
        </w:rPr>
      </w:pPr>
    </w:p>
    <w:p w14:paraId="27C051F6" w14:textId="77777777" w:rsidR="007E0878" w:rsidRDefault="0004776F" w:rsidP="00A93FD1">
      <w:pPr>
        <w:pStyle w:val="NormalWeb"/>
        <w:spacing w:before="0" w:beforeAutospacing="0" w:after="0" w:afterAutospacing="0"/>
        <w:ind w:left="720"/>
        <w:rPr>
          <w:color w:val="000000" w:themeColor="text1"/>
        </w:rPr>
      </w:pPr>
      <w:r w:rsidRPr="00A93FD1">
        <w:rPr>
          <w:i/>
          <w:color w:val="000000" w:themeColor="text1"/>
        </w:rPr>
        <w:t>Onsite inactivation</w:t>
      </w:r>
      <w:r w:rsidRPr="00647F96">
        <w:rPr>
          <w:color w:val="000000" w:themeColor="text1"/>
        </w:rPr>
        <w:t xml:space="preserve">: </w:t>
      </w:r>
    </w:p>
    <w:p w14:paraId="18151D51" w14:textId="77777777" w:rsidR="00A93FD1" w:rsidRDefault="00647F96" w:rsidP="007E0878">
      <w:pPr>
        <w:pStyle w:val="NormalWeb"/>
        <w:numPr>
          <w:ilvl w:val="0"/>
          <w:numId w:val="11"/>
        </w:numPr>
        <w:spacing w:before="0" w:beforeAutospacing="0" w:after="0" w:afterAutospacing="0"/>
        <w:rPr>
          <w:color w:val="000000" w:themeColor="text1"/>
        </w:rPr>
      </w:pPr>
      <w:r w:rsidRPr="00647F96">
        <w:rPr>
          <w:color w:val="000000" w:themeColor="text1"/>
        </w:rPr>
        <w:t>Highly infectious disease</w:t>
      </w:r>
      <w:r w:rsidR="0004776F" w:rsidRPr="00647F96">
        <w:rPr>
          <w:color w:val="000000" w:themeColor="text1"/>
        </w:rPr>
        <w:t xml:space="preserve">-associated waste may be inactivated </w:t>
      </w:r>
      <w:r w:rsidR="007E0878" w:rsidRPr="00647F96">
        <w:rPr>
          <w:color w:val="000000" w:themeColor="text1"/>
        </w:rPr>
        <w:t>using</w:t>
      </w:r>
      <w:r w:rsidR="0004776F" w:rsidRPr="00647F96">
        <w:rPr>
          <w:color w:val="000000" w:themeColor="text1"/>
        </w:rPr>
        <w:t xml:space="preserve"> appropriate autoclaves.   </w:t>
      </w:r>
    </w:p>
    <w:p w14:paraId="7D1262D2" w14:textId="77777777" w:rsidR="007E0878" w:rsidRDefault="007E0878" w:rsidP="00A93FD1">
      <w:pPr>
        <w:pStyle w:val="NormalWeb"/>
        <w:spacing w:before="0" w:beforeAutospacing="0" w:after="0" w:afterAutospacing="0"/>
        <w:ind w:left="720"/>
        <w:rPr>
          <w:color w:val="000000" w:themeColor="text1"/>
        </w:rPr>
      </w:pPr>
    </w:p>
    <w:p w14:paraId="45660D8C" w14:textId="77777777" w:rsidR="007E0878" w:rsidRDefault="0004776F" w:rsidP="00A93FD1">
      <w:pPr>
        <w:pStyle w:val="NormalWeb"/>
        <w:spacing w:before="0" w:beforeAutospacing="0" w:after="0" w:afterAutospacing="0"/>
        <w:ind w:left="720"/>
        <w:rPr>
          <w:color w:val="000000" w:themeColor="text1"/>
        </w:rPr>
      </w:pPr>
      <w:r w:rsidRPr="00A93FD1">
        <w:rPr>
          <w:i/>
          <w:color w:val="000000" w:themeColor="text1"/>
        </w:rPr>
        <w:t>Onsite incineration</w:t>
      </w:r>
      <w:r w:rsidRPr="00647F96">
        <w:rPr>
          <w:color w:val="000000" w:themeColor="text1"/>
        </w:rPr>
        <w:t xml:space="preserve">: </w:t>
      </w:r>
    </w:p>
    <w:p w14:paraId="7722860D" w14:textId="77777777" w:rsidR="00A93FD1" w:rsidRDefault="00647F96" w:rsidP="007E0878">
      <w:pPr>
        <w:pStyle w:val="NormalWeb"/>
        <w:numPr>
          <w:ilvl w:val="0"/>
          <w:numId w:val="11"/>
        </w:numPr>
        <w:spacing w:before="0" w:beforeAutospacing="0" w:after="0" w:afterAutospacing="0"/>
        <w:rPr>
          <w:color w:val="000000" w:themeColor="text1"/>
        </w:rPr>
      </w:pPr>
      <w:r w:rsidRPr="00647F96">
        <w:rPr>
          <w:color w:val="000000" w:themeColor="text1"/>
        </w:rPr>
        <w:t>Highly infectious disease</w:t>
      </w:r>
      <w:r w:rsidR="0004776F" w:rsidRPr="00647F96">
        <w:rPr>
          <w:color w:val="000000" w:themeColor="text1"/>
        </w:rPr>
        <w:t xml:space="preserve">-associated waste may be inactivated </w:t>
      </w:r>
      <w:r w:rsidR="007E0878" w:rsidRPr="00647F96">
        <w:rPr>
          <w:color w:val="000000" w:themeColor="text1"/>
        </w:rPr>
        <w:t>using</w:t>
      </w:r>
      <w:r w:rsidR="00A93FD1">
        <w:rPr>
          <w:color w:val="000000" w:themeColor="text1"/>
        </w:rPr>
        <w:t xml:space="preserve"> appropriate incineration</w:t>
      </w:r>
      <w:r w:rsidR="0004776F" w:rsidRPr="00647F96">
        <w:rPr>
          <w:color w:val="000000" w:themeColor="text1"/>
        </w:rPr>
        <w:t xml:space="preserve">. </w:t>
      </w:r>
    </w:p>
    <w:p w14:paraId="027DAAE5" w14:textId="77777777" w:rsidR="007E0878" w:rsidRDefault="007E0878" w:rsidP="007E0878">
      <w:pPr>
        <w:pStyle w:val="NormalWeb"/>
        <w:spacing w:before="0" w:beforeAutospacing="0" w:after="0" w:afterAutospacing="0"/>
        <w:ind w:left="1800"/>
        <w:rPr>
          <w:color w:val="000000" w:themeColor="text1"/>
        </w:rPr>
      </w:pPr>
    </w:p>
    <w:p w14:paraId="2A11C492" w14:textId="77777777" w:rsidR="00A93FD1" w:rsidRDefault="0004776F" w:rsidP="00A93FD1">
      <w:pPr>
        <w:pStyle w:val="NormalWeb"/>
        <w:spacing w:before="0" w:beforeAutospacing="0" w:after="0" w:afterAutospacing="0"/>
        <w:ind w:left="720"/>
        <w:rPr>
          <w:i/>
          <w:color w:val="000000" w:themeColor="text1"/>
        </w:rPr>
      </w:pPr>
      <w:r w:rsidRPr="00647F96">
        <w:rPr>
          <w:color w:val="000000" w:themeColor="text1"/>
        </w:rPr>
        <w:t xml:space="preserve">Link to CDC guidance on disinfection and sterilization in healthcare facilities: </w:t>
      </w:r>
      <w:hyperlink r:id="rId9" w:history="1">
        <w:r w:rsidR="00A93FD1" w:rsidRPr="00A93FD1">
          <w:rPr>
            <w:rStyle w:val="Hyperlink"/>
          </w:rPr>
          <w:t>https://www.cdc.gov/infectioncontrol/guidelines/disinfection/index.html</w:t>
        </w:r>
      </w:hyperlink>
      <w:r w:rsidR="00F667A1">
        <w:rPr>
          <w:i/>
          <w:color w:val="000000" w:themeColor="text1"/>
        </w:rPr>
        <w:t xml:space="preserve"> </w:t>
      </w:r>
    </w:p>
    <w:p w14:paraId="06AEE36C" w14:textId="77777777" w:rsidR="00F667A1" w:rsidRDefault="00F667A1" w:rsidP="00A93FD1">
      <w:pPr>
        <w:pStyle w:val="NormalWeb"/>
        <w:spacing w:before="0" w:beforeAutospacing="0" w:after="0" w:afterAutospacing="0"/>
        <w:ind w:left="720"/>
        <w:rPr>
          <w:i/>
          <w:color w:val="000000" w:themeColor="text1"/>
        </w:rPr>
      </w:pPr>
    </w:p>
    <w:p w14:paraId="7E574A32" w14:textId="77777777" w:rsidR="0004776F" w:rsidRDefault="00647F96" w:rsidP="00F667A1">
      <w:pPr>
        <w:pStyle w:val="NormalWeb"/>
        <w:spacing w:before="0" w:beforeAutospacing="0" w:after="0" w:afterAutospacing="0"/>
        <w:ind w:firstLine="720"/>
        <w:rPr>
          <w:color w:val="000000" w:themeColor="text1"/>
        </w:rPr>
      </w:pPr>
      <w:r w:rsidRPr="00647F96">
        <w:rPr>
          <w:color w:val="000000" w:themeColor="text1"/>
        </w:rPr>
        <w:t>Highly infectious disease</w:t>
      </w:r>
      <w:r w:rsidR="0004776F" w:rsidRPr="00647F96">
        <w:rPr>
          <w:color w:val="000000" w:themeColor="text1"/>
        </w:rPr>
        <w:t xml:space="preserve">-associated waste that has been appropriately incinerated, autoclaved, or otherwise inactivated is no longer infectious, does not pose a health risk, and is not considered to be regulated medical waste or a hazardous material under Federal law. Products of incineration of </w:t>
      </w:r>
      <w:r w:rsidR="00A93FD1">
        <w:rPr>
          <w:color w:val="000000" w:themeColor="text1"/>
        </w:rPr>
        <w:t>h</w:t>
      </w:r>
      <w:r w:rsidRPr="00647F96">
        <w:rPr>
          <w:color w:val="000000" w:themeColor="text1"/>
        </w:rPr>
        <w:t>ighly infectious disease</w:t>
      </w:r>
      <w:r w:rsidR="0004776F" w:rsidRPr="00647F96">
        <w:rPr>
          <w:color w:val="000000" w:themeColor="text1"/>
        </w:rPr>
        <w:t xml:space="preserve">-associated waste can be transported and disposed of in accordance with state/local regulations and standard protocols for hospital waste disposal. </w:t>
      </w:r>
    </w:p>
    <w:p w14:paraId="75C6678E" w14:textId="77777777" w:rsidR="00A93FD1" w:rsidRPr="00647F96" w:rsidRDefault="00A93FD1" w:rsidP="00A93FD1">
      <w:pPr>
        <w:pStyle w:val="NormalWeb"/>
        <w:spacing w:before="0" w:beforeAutospacing="0" w:after="0" w:afterAutospacing="0"/>
        <w:ind w:left="720"/>
        <w:rPr>
          <w:color w:val="000000" w:themeColor="text1"/>
        </w:rPr>
      </w:pPr>
    </w:p>
    <w:p w14:paraId="577FBB7B" w14:textId="77777777" w:rsidR="0004776F" w:rsidRDefault="00A93FD1" w:rsidP="00647F96">
      <w:pPr>
        <w:pStyle w:val="NormalWeb"/>
        <w:spacing w:before="0" w:beforeAutospacing="0" w:after="0" w:afterAutospacing="0"/>
        <w:rPr>
          <w:b/>
          <w:color w:val="000000" w:themeColor="text1"/>
        </w:rPr>
      </w:pPr>
      <w:r>
        <w:rPr>
          <w:b/>
          <w:color w:val="000000" w:themeColor="text1"/>
        </w:rPr>
        <w:t>Offsite Transport o</w:t>
      </w:r>
      <w:r w:rsidRPr="00A93FD1">
        <w:rPr>
          <w:b/>
          <w:color w:val="000000" w:themeColor="text1"/>
        </w:rPr>
        <w:t xml:space="preserve">f Highly Infectious Disease-Contaminated Solid Medical Waste </w:t>
      </w:r>
    </w:p>
    <w:p w14:paraId="5A483220" w14:textId="77777777" w:rsidR="00A93FD1" w:rsidRPr="00A93FD1" w:rsidRDefault="00A93FD1" w:rsidP="00647F96">
      <w:pPr>
        <w:pStyle w:val="NormalWeb"/>
        <w:spacing w:before="0" w:beforeAutospacing="0" w:after="0" w:afterAutospacing="0"/>
        <w:rPr>
          <w:b/>
          <w:color w:val="000000" w:themeColor="text1"/>
        </w:rPr>
      </w:pPr>
    </w:p>
    <w:p w14:paraId="1EB7EAAA" w14:textId="77777777" w:rsidR="00A93FD1" w:rsidRDefault="00647F96" w:rsidP="00A93FD1">
      <w:pPr>
        <w:pStyle w:val="NormalWeb"/>
        <w:spacing w:before="0" w:beforeAutospacing="0" w:after="0" w:afterAutospacing="0"/>
        <w:ind w:firstLine="720"/>
        <w:rPr>
          <w:color w:val="000000" w:themeColor="text1"/>
        </w:rPr>
      </w:pPr>
      <w:r w:rsidRPr="00647F96">
        <w:rPr>
          <w:color w:val="000000" w:themeColor="text1"/>
        </w:rPr>
        <w:t>Highly infectious disease</w:t>
      </w:r>
      <w:r w:rsidR="0004776F" w:rsidRPr="00647F96">
        <w:rPr>
          <w:color w:val="000000" w:themeColor="text1"/>
        </w:rPr>
        <w:t xml:space="preserve"> is regulated as a Category A infectious substance and is considered a hazardous material under the U.S. Department of Transportation's Hazardous Materials Regulation (HMR; 49 C.F.R. Parts 171-180). Therefore, certain disposal protocols set forth by this regulation must be met prior to transporting </w:t>
      </w:r>
      <w:r w:rsidR="00A93FD1">
        <w:rPr>
          <w:color w:val="000000" w:themeColor="text1"/>
        </w:rPr>
        <w:t>h</w:t>
      </w:r>
      <w:r w:rsidRPr="00647F96">
        <w:rPr>
          <w:color w:val="000000" w:themeColor="text1"/>
        </w:rPr>
        <w:t>ighly infectious disease</w:t>
      </w:r>
      <w:r w:rsidR="0004776F" w:rsidRPr="00647F96">
        <w:rPr>
          <w:color w:val="000000" w:themeColor="text1"/>
        </w:rPr>
        <w:t xml:space="preserve">-associated waste to an offsite that has not been inactivated onsite. </w:t>
      </w:r>
    </w:p>
    <w:p w14:paraId="10B24AF6" w14:textId="77777777" w:rsidR="0004776F" w:rsidRPr="00647F96" w:rsidRDefault="0004776F" w:rsidP="00A93FD1">
      <w:pPr>
        <w:pStyle w:val="NormalWeb"/>
        <w:spacing w:before="0" w:beforeAutospacing="0" w:after="0" w:afterAutospacing="0"/>
        <w:ind w:firstLine="720"/>
        <w:rPr>
          <w:color w:val="000000" w:themeColor="text1"/>
        </w:rPr>
      </w:pPr>
      <w:r w:rsidRPr="00647F96">
        <w:rPr>
          <w:color w:val="000000" w:themeColor="text1"/>
        </w:rPr>
        <w:t xml:space="preserve">Prior to transport offsite, a Category A infectious substance must be tripled packed in a primary watertight receptacle, a watertight secondary packaging, and a rigid outer packaging.  </w:t>
      </w:r>
      <w:r w:rsidR="00930EEA">
        <w:rPr>
          <w:color w:val="000000" w:themeColor="text1"/>
        </w:rPr>
        <w:br/>
      </w:r>
    </w:p>
    <w:p w14:paraId="22F2729F" w14:textId="77777777" w:rsidR="00A93FD1" w:rsidRDefault="0004776F" w:rsidP="00A93FD1">
      <w:pPr>
        <w:pStyle w:val="NormalWeb"/>
        <w:spacing w:before="0" w:beforeAutospacing="0" w:after="0" w:afterAutospacing="0"/>
        <w:ind w:firstLine="720"/>
        <w:rPr>
          <w:color w:val="000000" w:themeColor="text1"/>
        </w:rPr>
      </w:pPr>
      <w:r w:rsidRPr="00A93FD1">
        <w:rPr>
          <w:i/>
          <w:color w:val="000000" w:themeColor="text1"/>
        </w:rPr>
        <w:t>Individual plastic film packaging</w:t>
      </w:r>
      <w:r w:rsidRPr="00647F96">
        <w:rPr>
          <w:color w:val="000000" w:themeColor="text1"/>
        </w:rPr>
        <w:t xml:space="preserve"> </w:t>
      </w:r>
    </w:p>
    <w:p w14:paraId="4A23FA87" w14:textId="77777777" w:rsidR="00A93FD1" w:rsidRDefault="0004776F" w:rsidP="00930EEA">
      <w:pPr>
        <w:pStyle w:val="NormalWeb"/>
        <w:numPr>
          <w:ilvl w:val="0"/>
          <w:numId w:val="9"/>
        </w:numPr>
        <w:spacing w:before="0" w:beforeAutospacing="0" w:after="0" w:afterAutospacing="0"/>
        <w:rPr>
          <w:color w:val="000000" w:themeColor="text1"/>
        </w:rPr>
      </w:pPr>
      <w:r w:rsidRPr="00647F96">
        <w:rPr>
          <w:color w:val="000000" w:themeColor="text1"/>
        </w:rPr>
        <w:t xml:space="preserve">Must weigh no more than 10kg (22lbs) when </w:t>
      </w:r>
      <w:proofErr w:type="gramStart"/>
      <w:r w:rsidRPr="00647F96">
        <w:rPr>
          <w:color w:val="000000" w:themeColor="text1"/>
        </w:rPr>
        <w:t>full</w:t>
      </w:r>
      <w:proofErr w:type="gramEnd"/>
      <w:r w:rsidRPr="00647F96">
        <w:rPr>
          <w:color w:val="000000" w:themeColor="text1"/>
        </w:rPr>
        <w:t xml:space="preserve"> </w:t>
      </w:r>
    </w:p>
    <w:p w14:paraId="614EF2CB" w14:textId="77777777" w:rsidR="00930EEA" w:rsidRDefault="0004776F" w:rsidP="00930EEA">
      <w:pPr>
        <w:pStyle w:val="NormalWeb"/>
        <w:numPr>
          <w:ilvl w:val="0"/>
          <w:numId w:val="9"/>
        </w:numPr>
        <w:spacing w:before="0" w:beforeAutospacing="0" w:after="0" w:afterAutospacing="0"/>
        <w:rPr>
          <w:color w:val="000000" w:themeColor="text1"/>
        </w:rPr>
      </w:pPr>
      <w:r w:rsidRPr="00930EEA">
        <w:rPr>
          <w:color w:val="000000" w:themeColor="text1"/>
        </w:rPr>
        <w:t>Must be 175</w:t>
      </w:r>
      <w:r w:rsidR="00930EEA" w:rsidRPr="00930EEA">
        <w:rPr>
          <w:color w:val="000000" w:themeColor="text1"/>
        </w:rPr>
        <w:t xml:space="preserve"> liters (46 gallons) or </w:t>
      </w:r>
      <w:proofErr w:type="gramStart"/>
      <w:r w:rsidR="00930EEA" w:rsidRPr="00930EEA">
        <w:rPr>
          <w:color w:val="000000" w:themeColor="text1"/>
        </w:rPr>
        <w:t>smaller</w:t>
      </w:r>
      <w:proofErr w:type="gramEnd"/>
    </w:p>
    <w:p w14:paraId="2CC54936" w14:textId="77777777" w:rsidR="00A93FD1" w:rsidRPr="00930EEA" w:rsidRDefault="0004776F" w:rsidP="00930EEA">
      <w:pPr>
        <w:pStyle w:val="NormalWeb"/>
        <w:numPr>
          <w:ilvl w:val="0"/>
          <w:numId w:val="6"/>
        </w:numPr>
        <w:spacing w:before="0" w:beforeAutospacing="0" w:after="0" w:afterAutospacing="0"/>
        <w:rPr>
          <w:color w:val="000000" w:themeColor="text1"/>
        </w:rPr>
      </w:pPr>
      <w:r w:rsidRPr="00930EEA">
        <w:rPr>
          <w:color w:val="000000" w:themeColor="text1"/>
        </w:rPr>
        <w:t xml:space="preserve">Must be marked and certified by its manufacturer as having an impact resistance of 165 grams and a tearing resistance of 480 grams in both parallel and perpendicular planes with respect to the length of the bag when tested in accordance with ASTM D 1709 and ASTM D 1922 </w:t>
      </w:r>
    </w:p>
    <w:p w14:paraId="279672F0" w14:textId="77777777" w:rsidR="00F667A1" w:rsidRDefault="0004776F" w:rsidP="00930EEA">
      <w:pPr>
        <w:pStyle w:val="NormalWeb"/>
        <w:numPr>
          <w:ilvl w:val="0"/>
          <w:numId w:val="6"/>
        </w:numPr>
        <w:spacing w:before="0" w:beforeAutospacing="0" w:after="0" w:afterAutospacing="0"/>
        <w:rPr>
          <w:color w:val="000000" w:themeColor="text1"/>
        </w:rPr>
      </w:pPr>
      <w:r w:rsidRPr="00647F96">
        <w:rPr>
          <w:color w:val="000000" w:themeColor="text1"/>
        </w:rPr>
        <w:t xml:space="preserve">Must be compatible with the non-aerosol liquid solution EPA-registered hospital disinfectant with a label claim for a non-enveloped virus (e.g., norovirus, rotavirus, adenovirus, poliovirus) that is recommended by the CDC for use as a </w:t>
      </w:r>
      <w:r w:rsidRPr="00647F96">
        <w:rPr>
          <w:color w:val="000000" w:themeColor="text1"/>
        </w:rPr>
        <w:lastRenderedPageBreak/>
        <w:t xml:space="preserve">disinfectant for the </w:t>
      </w:r>
      <w:r w:rsidR="00647F96" w:rsidRPr="00647F96">
        <w:rPr>
          <w:color w:val="000000" w:themeColor="text1"/>
        </w:rPr>
        <w:t>Highly infectious disease</w:t>
      </w:r>
      <w:r w:rsidRPr="00647F96">
        <w:rPr>
          <w:color w:val="000000" w:themeColor="text1"/>
        </w:rPr>
        <w:t xml:space="preserve"> virus.</w:t>
      </w:r>
      <w:r w:rsidR="00930EEA">
        <w:rPr>
          <w:color w:val="000000" w:themeColor="text1"/>
        </w:rPr>
        <w:br/>
      </w:r>
    </w:p>
    <w:p w14:paraId="51C41E41" w14:textId="77777777" w:rsidR="00F667A1" w:rsidRDefault="00F667A1" w:rsidP="00F667A1">
      <w:pPr>
        <w:pStyle w:val="NormalWeb"/>
        <w:spacing w:before="0" w:beforeAutospacing="0" w:after="0" w:afterAutospacing="0"/>
        <w:ind w:left="1440"/>
        <w:rPr>
          <w:color w:val="000000" w:themeColor="text1"/>
        </w:rPr>
      </w:pPr>
    </w:p>
    <w:p w14:paraId="6BC97EE0" w14:textId="77777777" w:rsidR="0004776F" w:rsidRDefault="0004776F" w:rsidP="00F667A1">
      <w:pPr>
        <w:pStyle w:val="NormalWeb"/>
        <w:spacing w:before="0" w:beforeAutospacing="0" w:after="0" w:afterAutospacing="0"/>
        <w:ind w:left="1440"/>
        <w:rPr>
          <w:color w:val="000000" w:themeColor="text1"/>
        </w:rPr>
      </w:pPr>
      <w:r w:rsidRPr="00647F96">
        <w:rPr>
          <w:color w:val="000000" w:themeColor="text1"/>
        </w:rPr>
        <w:t xml:space="preserve"> </w:t>
      </w:r>
    </w:p>
    <w:p w14:paraId="2C153A5B" w14:textId="77777777" w:rsidR="00930EEA" w:rsidRDefault="0004776F" w:rsidP="00930EEA">
      <w:pPr>
        <w:pStyle w:val="NormalWeb"/>
        <w:spacing w:before="0" w:beforeAutospacing="0" w:after="0" w:afterAutospacing="0"/>
        <w:ind w:firstLine="720"/>
        <w:rPr>
          <w:color w:val="000000" w:themeColor="text1"/>
        </w:rPr>
      </w:pPr>
      <w:r w:rsidRPr="00930EEA">
        <w:rPr>
          <w:i/>
          <w:color w:val="000000" w:themeColor="text1"/>
        </w:rPr>
        <w:t>Rigid outer packaging</w:t>
      </w:r>
      <w:r w:rsidRPr="00647F96">
        <w:rPr>
          <w:color w:val="000000" w:themeColor="text1"/>
        </w:rPr>
        <w:t xml:space="preserve"> </w:t>
      </w:r>
    </w:p>
    <w:p w14:paraId="456C8CF3" w14:textId="77777777" w:rsidR="00930EEA" w:rsidRDefault="0004776F" w:rsidP="00930EEA">
      <w:pPr>
        <w:pStyle w:val="NormalWeb"/>
        <w:numPr>
          <w:ilvl w:val="0"/>
          <w:numId w:val="10"/>
        </w:numPr>
        <w:spacing w:before="0" w:beforeAutospacing="0" w:after="0" w:afterAutospacing="0"/>
        <w:rPr>
          <w:color w:val="000000" w:themeColor="text1"/>
        </w:rPr>
      </w:pPr>
      <w:r w:rsidRPr="00647F96">
        <w:rPr>
          <w:color w:val="000000" w:themeColor="text1"/>
        </w:rPr>
        <w:t>Must be either a United Nations (UN) Standard or DOT approved non-bulk packaging − Drums made of plastic, or triple wall corrugated fiberboard (authorized under approval) − Boxes made of pl</w:t>
      </w:r>
      <w:r w:rsidR="00930EEA">
        <w:rPr>
          <w:color w:val="000000" w:themeColor="text1"/>
        </w:rPr>
        <w:t xml:space="preserve">astic or triple wall fiberboard. </w:t>
      </w:r>
    </w:p>
    <w:p w14:paraId="70682296" w14:textId="77777777" w:rsidR="00930EEA" w:rsidRDefault="00930EEA" w:rsidP="00647F96">
      <w:pPr>
        <w:pStyle w:val="NormalWeb"/>
        <w:numPr>
          <w:ilvl w:val="0"/>
          <w:numId w:val="10"/>
        </w:numPr>
        <w:spacing w:before="0" w:beforeAutospacing="0" w:after="0" w:afterAutospacing="0"/>
        <w:rPr>
          <w:color w:val="000000" w:themeColor="text1"/>
        </w:rPr>
      </w:pPr>
      <w:r w:rsidRPr="00930EEA">
        <w:rPr>
          <w:color w:val="000000" w:themeColor="text1"/>
        </w:rPr>
        <w:t>M</w:t>
      </w:r>
      <w:r w:rsidR="0004776F" w:rsidRPr="00930EEA">
        <w:rPr>
          <w:color w:val="000000" w:themeColor="text1"/>
        </w:rPr>
        <w:t xml:space="preserve">ust be certified and tested to the PG II Level for medium </w:t>
      </w:r>
      <w:proofErr w:type="gramStart"/>
      <w:r w:rsidR="0004776F" w:rsidRPr="00930EEA">
        <w:rPr>
          <w:color w:val="000000" w:themeColor="text1"/>
        </w:rPr>
        <w:t>danger</w:t>
      </w:r>
      <w:proofErr w:type="gramEnd"/>
      <w:r w:rsidR="0004776F" w:rsidRPr="00930EEA">
        <w:rPr>
          <w:color w:val="000000" w:themeColor="text1"/>
        </w:rPr>
        <w:t xml:space="preserve"> </w:t>
      </w:r>
    </w:p>
    <w:p w14:paraId="6603CC4D" w14:textId="77777777" w:rsidR="00930EEA" w:rsidRDefault="0004776F" w:rsidP="00647F96">
      <w:pPr>
        <w:pStyle w:val="NormalWeb"/>
        <w:numPr>
          <w:ilvl w:val="0"/>
          <w:numId w:val="10"/>
        </w:numPr>
        <w:spacing w:before="0" w:beforeAutospacing="0" w:after="0" w:afterAutospacing="0"/>
        <w:rPr>
          <w:color w:val="000000" w:themeColor="text1"/>
        </w:rPr>
      </w:pPr>
      <w:r w:rsidRPr="00930EEA">
        <w:rPr>
          <w:color w:val="000000" w:themeColor="text1"/>
        </w:rPr>
        <w:t xml:space="preserve">Must have a minimum of a </w:t>
      </w:r>
      <w:proofErr w:type="gramStart"/>
      <w:r w:rsidRPr="00930EEA">
        <w:rPr>
          <w:color w:val="000000" w:themeColor="text1"/>
        </w:rPr>
        <w:t>6 millimeter</w:t>
      </w:r>
      <w:proofErr w:type="gramEnd"/>
      <w:r w:rsidRPr="00930EEA">
        <w:rPr>
          <w:color w:val="000000" w:themeColor="text1"/>
        </w:rPr>
        <w:t xml:space="preserve"> polyethylene plastic liner if the outer packaging is fiberboard </w:t>
      </w:r>
    </w:p>
    <w:p w14:paraId="3AC190E5" w14:textId="77777777" w:rsidR="0004776F" w:rsidRPr="00930EEA" w:rsidRDefault="0004776F" w:rsidP="00647F96">
      <w:pPr>
        <w:pStyle w:val="NormalWeb"/>
        <w:numPr>
          <w:ilvl w:val="0"/>
          <w:numId w:val="10"/>
        </w:numPr>
        <w:spacing w:before="0" w:beforeAutospacing="0" w:after="0" w:afterAutospacing="0"/>
        <w:rPr>
          <w:color w:val="000000" w:themeColor="text1"/>
        </w:rPr>
      </w:pPr>
      <w:r w:rsidRPr="00930EEA">
        <w:rPr>
          <w:color w:val="000000" w:themeColor="text1"/>
        </w:rPr>
        <w:t xml:space="preserve">Must be marked and labeled in accordance </w:t>
      </w:r>
      <w:proofErr w:type="gramStart"/>
      <w:r w:rsidRPr="00930EEA">
        <w:rPr>
          <w:color w:val="000000" w:themeColor="text1"/>
        </w:rPr>
        <w:t>to</w:t>
      </w:r>
      <w:proofErr w:type="gramEnd"/>
      <w:r w:rsidRPr="00930EEA">
        <w:rPr>
          <w:color w:val="000000" w:themeColor="text1"/>
        </w:rPr>
        <w:t xml:space="preserve"> U.S. DOT Hazardous Materials Regulation.   </w:t>
      </w:r>
    </w:p>
    <w:p w14:paraId="2EE082C0" w14:textId="77777777" w:rsidR="0004776F" w:rsidRPr="00647F96" w:rsidRDefault="0004776F" w:rsidP="00647F96">
      <w:pPr>
        <w:pStyle w:val="NormalWeb"/>
        <w:spacing w:before="0" w:beforeAutospacing="0" w:after="0" w:afterAutospacing="0"/>
        <w:rPr>
          <w:color w:val="000000" w:themeColor="text1"/>
        </w:rPr>
      </w:pPr>
      <w:r w:rsidRPr="00647F96">
        <w:rPr>
          <w:color w:val="000000" w:themeColor="text1"/>
        </w:rPr>
        <w:t xml:space="preserve"> </w:t>
      </w:r>
    </w:p>
    <w:p w14:paraId="7604C641" w14:textId="77777777" w:rsidR="0004776F" w:rsidRPr="00647F96" w:rsidRDefault="0004776F" w:rsidP="00930EEA">
      <w:pPr>
        <w:pStyle w:val="NormalWeb"/>
        <w:spacing w:before="0" w:beforeAutospacing="0" w:after="0" w:afterAutospacing="0"/>
        <w:ind w:firstLine="720"/>
        <w:rPr>
          <w:color w:val="000000" w:themeColor="text1"/>
        </w:rPr>
      </w:pPr>
      <w:r w:rsidRPr="00647F96">
        <w:rPr>
          <w:color w:val="000000" w:themeColor="text1"/>
        </w:rPr>
        <w:t xml:space="preserve">After outer packaging has been closed as specified by the manufacture of the packaging, disinfect the exterior surface of the outer packaging with a non-aerosol liquid solution EPA-registered hospital disinfectant with a label claim for a non-enveloped virus (e.g., norovirus, rotavirus, adenovirus, poliovirus) that is recommended by the CDC for use as a disinfectant for the </w:t>
      </w:r>
      <w:r w:rsidR="00647F96" w:rsidRPr="00647F96">
        <w:rPr>
          <w:color w:val="000000" w:themeColor="text1"/>
        </w:rPr>
        <w:t>Highly infectious disease</w:t>
      </w:r>
      <w:r w:rsidRPr="00647F96">
        <w:rPr>
          <w:color w:val="000000" w:themeColor="text1"/>
        </w:rPr>
        <w:t xml:space="preserve"> virus. </w:t>
      </w:r>
    </w:p>
    <w:p w14:paraId="3036A8E5" w14:textId="77777777" w:rsidR="0004776F" w:rsidRPr="00647F96" w:rsidRDefault="0004776F" w:rsidP="00647F96">
      <w:pPr>
        <w:pStyle w:val="NormalWeb"/>
        <w:spacing w:before="0" w:beforeAutospacing="0" w:after="0" w:afterAutospacing="0"/>
        <w:rPr>
          <w:color w:val="000000" w:themeColor="text1"/>
        </w:rPr>
      </w:pPr>
      <w:r w:rsidRPr="00647F96">
        <w:rPr>
          <w:color w:val="000000" w:themeColor="text1"/>
        </w:rPr>
        <w:t xml:space="preserve"> </w:t>
      </w:r>
    </w:p>
    <w:p w14:paraId="3BFA27A4" w14:textId="77777777" w:rsidR="0004776F" w:rsidRPr="00647F96" w:rsidRDefault="0004776F" w:rsidP="00647F96">
      <w:pPr>
        <w:pStyle w:val="NormalWeb"/>
        <w:spacing w:before="0" w:beforeAutospacing="0" w:after="0" w:afterAutospacing="0"/>
        <w:rPr>
          <w:color w:val="000000" w:themeColor="text1"/>
        </w:rPr>
      </w:pPr>
      <w:r w:rsidRPr="00647F96">
        <w:rPr>
          <w:color w:val="000000" w:themeColor="text1"/>
        </w:rPr>
        <w:t xml:space="preserve">NOTE: It is important that healthcare facilities coordinate with their current waste management vendor to discuss their protocol on disposal of waste contaminated with infectious viral hemorrhagic fever. Be sure to include questions such as: </w:t>
      </w:r>
    </w:p>
    <w:p w14:paraId="06CF9F3D" w14:textId="77777777" w:rsidR="0004776F" w:rsidRPr="00647F96" w:rsidRDefault="0004776F" w:rsidP="00647F96">
      <w:pPr>
        <w:pStyle w:val="NormalWeb"/>
        <w:spacing w:before="0" w:beforeAutospacing="0" w:after="0" w:afterAutospacing="0"/>
        <w:rPr>
          <w:color w:val="000000" w:themeColor="text1"/>
        </w:rPr>
      </w:pPr>
      <w:r w:rsidRPr="00647F96">
        <w:rPr>
          <w:color w:val="000000" w:themeColor="text1"/>
        </w:rPr>
        <w:t xml:space="preserve"> </w:t>
      </w:r>
    </w:p>
    <w:p w14:paraId="661CA6C6" w14:textId="77777777" w:rsidR="00930EEA" w:rsidRDefault="0004776F" w:rsidP="00930EEA">
      <w:pPr>
        <w:pStyle w:val="NormalWeb"/>
        <w:spacing w:before="0" w:beforeAutospacing="0" w:after="0" w:afterAutospacing="0"/>
        <w:ind w:left="720"/>
        <w:rPr>
          <w:color w:val="000000" w:themeColor="text1"/>
        </w:rPr>
      </w:pPr>
      <w:r w:rsidRPr="00647F96">
        <w:rPr>
          <w:color w:val="000000" w:themeColor="text1"/>
        </w:rPr>
        <w:t xml:space="preserve">1. Whether the vendor has an arrangement with a waste disposal or processing facility that holds the required permits to receive waste contaminated with </w:t>
      </w:r>
      <w:r w:rsidR="00930EEA">
        <w:rPr>
          <w:color w:val="000000" w:themeColor="text1"/>
        </w:rPr>
        <w:t>h</w:t>
      </w:r>
      <w:r w:rsidR="00647F96" w:rsidRPr="00647F96">
        <w:rPr>
          <w:color w:val="000000" w:themeColor="text1"/>
        </w:rPr>
        <w:t>ighly infectious disease</w:t>
      </w:r>
      <w:r w:rsidRPr="00647F96">
        <w:rPr>
          <w:color w:val="000000" w:themeColor="text1"/>
        </w:rPr>
        <w:t xml:space="preserve"> or other infectious viral hemorrhagic fever. </w:t>
      </w:r>
      <w:r w:rsidR="00930EEA">
        <w:rPr>
          <w:color w:val="000000" w:themeColor="text1"/>
        </w:rPr>
        <w:t>Waste</w:t>
      </w:r>
      <w:r w:rsidRPr="00647F96">
        <w:rPr>
          <w:color w:val="000000" w:themeColor="text1"/>
        </w:rPr>
        <w:t xml:space="preserve"> disposal and processing facilities must have the state's approval to receive and treat </w:t>
      </w:r>
      <w:r w:rsidR="00930EEA">
        <w:rPr>
          <w:color w:val="000000" w:themeColor="text1"/>
        </w:rPr>
        <w:t>h</w:t>
      </w:r>
      <w:r w:rsidR="00647F96" w:rsidRPr="00647F96">
        <w:rPr>
          <w:color w:val="000000" w:themeColor="text1"/>
        </w:rPr>
        <w:t>ighly infectious disease</w:t>
      </w:r>
      <w:r w:rsidRPr="00647F96">
        <w:rPr>
          <w:color w:val="000000" w:themeColor="text1"/>
        </w:rPr>
        <w:t xml:space="preserve">-associated waste. </w:t>
      </w:r>
    </w:p>
    <w:p w14:paraId="7436DBEF" w14:textId="77777777" w:rsidR="00930EEA" w:rsidRDefault="0004776F" w:rsidP="00930EEA">
      <w:pPr>
        <w:pStyle w:val="NormalWeb"/>
        <w:spacing w:before="0" w:beforeAutospacing="0" w:after="0" w:afterAutospacing="0"/>
        <w:ind w:left="720"/>
        <w:rPr>
          <w:color w:val="000000" w:themeColor="text1"/>
        </w:rPr>
      </w:pPr>
      <w:r w:rsidRPr="00647F96">
        <w:rPr>
          <w:color w:val="000000" w:themeColor="text1"/>
        </w:rPr>
        <w:t xml:space="preserve">2. Whether the vendor can properly package a U.S. DOT regulated Category A infectious substance according to Hazardous Waste Regulations for transportation offsite. </w:t>
      </w:r>
    </w:p>
    <w:p w14:paraId="77A05023" w14:textId="77777777" w:rsidR="0004776F" w:rsidRPr="00647F96" w:rsidRDefault="0004776F" w:rsidP="00930EEA">
      <w:pPr>
        <w:pStyle w:val="NormalWeb"/>
        <w:spacing w:before="0" w:beforeAutospacing="0" w:after="0" w:afterAutospacing="0"/>
        <w:ind w:left="720"/>
        <w:rPr>
          <w:color w:val="000000" w:themeColor="text1"/>
        </w:rPr>
      </w:pPr>
      <w:r w:rsidRPr="00647F96">
        <w:rPr>
          <w:color w:val="000000" w:themeColor="text1"/>
        </w:rPr>
        <w:t xml:space="preserve">3. Whether the vendor knows the proper protocol for requesting the Special Permit from U.S. DOT </w:t>
      </w:r>
      <w:r w:rsidR="00930EEA" w:rsidRPr="00647F96">
        <w:rPr>
          <w:color w:val="000000" w:themeColor="text1"/>
        </w:rPr>
        <w:t>if</w:t>
      </w:r>
      <w:r w:rsidRPr="00647F96">
        <w:rPr>
          <w:color w:val="000000" w:themeColor="text1"/>
        </w:rPr>
        <w:t xml:space="preserve"> they may need to transport a Category A infectious substance from the healthcare facility. </w:t>
      </w:r>
    </w:p>
    <w:p w14:paraId="5C2F59B5" w14:textId="77777777" w:rsidR="0004776F" w:rsidRPr="00647F96" w:rsidRDefault="0004776F" w:rsidP="00647F96">
      <w:pPr>
        <w:pStyle w:val="NormalWeb"/>
        <w:spacing w:before="0" w:beforeAutospacing="0" w:after="0" w:afterAutospacing="0"/>
        <w:rPr>
          <w:color w:val="000000" w:themeColor="text1"/>
        </w:rPr>
      </w:pPr>
      <w:r w:rsidRPr="00647F96">
        <w:rPr>
          <w:color w:val="000000" w:themeColor="text1"/>
        </w:rPr>
        <w:t xml:space="preserve"> </w:t>
      </w:r>
    </w:p>
    <w:p w14:paraId="1F914C7F" w14:textId="77777777" w:rsidR="00930EEA" w:rsidRDefault="0004776F" w:rsidP="00647F96">
      <w:pPr>
        <w:pStyle w:val="NormalWeb"/>
        <w:spacing w:before="0" w:beforeAutospacing="0" w:after="0" w:afterAutospacing="0"/>
        <w:rPr>
          <w:color w:val="000000" w:themeColor="text1"/>
        </w:rPr>
      </w:pPr>
      <w:r w:rsidRPr="00647F96">
        <w:rPr>
          <w:color w:val="000000" w:themeColor="text1"/>
        </w:rPr>
        <w:t xml:space="preserve">IMPORTANT: There are four requirements </w:t>
      </w:r>
      <w:r w:rsidR="00930EEA" w:rsidRPr="00647F96">
        <w:rPr>
          <w:color w:val="000000" w:themeColor="text1"/>
        </w:rPr>
        <w:t>to</w:t>
      </w:r>
      <w:r w:rsidRPr="00647F96">
        <w:rPr>
          <w:color w:val="000000" w:themeColor="text1"/>
        </w:rPr>
        <w:t xml:space="preserve"> be approved for the Special Permit as regulated by U.S. DOT:</w:t>
      </w:r>
    </w:p>
    <w:p w14:paraId="24307284" w14:textId="77777777" w:rsidR="00930EEA" w:rsidRDefault="0004776F" w:rsidP="00F667A1">
      <w:pPr>
        <w:pStyle w:val="NormalWeb"/>
        <w:numPr>
          <w:ilvl w:val="0"/>
          <w:numId w:val="12"/>
        </w:numPr>
        <w:spacing w:before="0" w:beforeAutospacing="0" w:after="0" w:afterAutospacing="0"/>
        <w:rPr>
          <w:color w:val="000000" w:themeColor="text1"/>
        </w:rPr>
      </w:pPr>
      <w:r w:rsidRPr="00647F96">
        <w:rPr>
          <w:color w:val="000000" w:themeColor="text1"/>
        </w:rPr>
        <w:t xml:space="preserve">Waste must be triple packaged as instructed in the previous </w:t>
      </w:r>
      <w:proofErr w:type="gramStart"/>
      <w:r w:rsidRPr="00647F96">
        <w:rPr>
          <w:color w:val="000000" w:themeColor="text1"/>
        </w:rPr>
        <w:t>section</w:t>
      </w:r>
      <w:proofErr w:type="gramEnd"/>
      <w:r w:rsidRPr="00647F96">
        <w:rPr>
          <w:color w:val="000000" w:themeColor="text1"/>
        </w:rPr>
        <w:t xml:space="preserve"> </w:t>
      </w:r>
    </w:p>
    <w:p w14:paraId="71A5E547" w14:textId="77777777" w:rsidR="00930EEA" w:rsidRDefault="0004776F" w:rsidP="00F667A1">
      <w:pPr>
        <w:pStyle w:val="NormalWeb"/>
        <w:numPr>
          <w:ilvl w:val="0"/>
          <w:numId w:val="12"/>
        </w:numPr>
        <w:spacing w:before="0" w:beforeAutospacing="0" w:after="0" w:afterAutospacing="0"/>
        <w:rPr>
          <w:color w:val="000000" w:themeColor="text1"/>
        </w:rPr>
      </w:pPr>
      <w:r w:rsidRPr="00647F96">
        <w:rPr>
          <w:color w:val="000000" w:themeColor="text1"/>
        </w:rPr>
        <w:t xml:space="preserve">Transport containers must be labeled as: UN number 2814 infectious substances affecting </w:t>
      </w:r>
      <w:proofErr w:type="gramStart"/>
      <w:r w:rsidRPr="00647F96">
        <w:rPr>
          <w:color w:val="000000" w:themeColor="text1"/>
        </w:rPr>
        <w:t>humans</w:t>
      </w:r>
      <w:proofErr w:type="gramEnd"/>
    </w:p>
    <w:p w14:paraId="0459BEE5" w14:textId="77777777" w:rsidR="00930EEA" w:rsidRDefault="0004776F" w:rsidP="00F667A1">
      <w:pPr>
        <w:pStyle w:val="NormalWeb"/>
        <w:numPr>
          <w:ilvl w:val="0"/>
          <w:numId w:val="12"/>
        </w:numPr>
        <w:spacing w:before="0" w:beforeAutospacing="0" w:after="0" w:afterAutospacing="0"/>
        <w:rPr>
          <w:color w:val="000000" w:themeColor="text1"/>
        </w:rPr>
      </w:pPr>
      <w:r w:rsidRPr="00647F96">
        <w:rPr>
          <w:color w:val="000000" w:themeColor="text1"/>
        </w:rPr>
        <w:t>Transport m</w:t>
      </w:r>
      <w:r w:rsidR="00930EEA">
        <w:rPr>
          <w:color w:val="000000" w:themeColor="text1"/>
        </w:rPr>
        <w:t xml:space="preserve">ust have a security plan and </w:t>
      </w:r>
      <w:proofErr w:type="spellStart"/>
      <w:r w:rsidR="00930EEA">
        <w:rPr>
          <w:color w:val="000000" w:themeColor="text1"/>
        </w:rPr>
        <w:t>en</w:t>
      </w:r>
      <w:proofErr w:type="spellEnd"/>
      <w:r w:rsidR="00930EEA">
        <w:rPr>
          <w:color w:val="000000" w:themeColor="text1"/>
        </w:rPr>
        <w:t>-</w:t>
      </w:r>
      <w:r w:rsidRPr="00647F96">
        <w:rPr>
          <w:color w:val="000000" w:themeColor="text1"/>
        </w:rPr>
        <w:t xml:space="preserve">route security </w:t>
      </w:r>
      <w:proofErr w:type="gramStart"/>
      <w:r w:rsidRPr="00647F96">
        <w:rPr>
          <w:color w:val="000000" w:themeColor="text1"/>
        </w:rPr>
        <w:t>detail</w:t>
      </w:r>
      <w:proofErr w:type="gramEnd"/>
      <w:r w:rsidRPr="00647F96">
        <w:rPr>
          <w:color w:val="000000" w:themeColor="text1"/>
        </w:rPr>
        <w:t xml:space="preserve"> </w:t>
      </w:r>
    </w:p>
    <w:p w14:paraId="01FD1277" w14:textId="77777777" w:rsidR="0004776F" w:rsidRPr="00647F96" w:rsidRDefault="0004776F" w:rsidP="00F667A1">
      <w:pPr>
        <w:pStyle w:val="NormalWeb"/>
        <w:numPr>
          <w:ilvl w:val="0"/>
          <w:numId w:val="12"/>
        </w:numPr>
        <w:spacing w:before="0" w:beforeAutospacing="0" w:after="0" w:afterAutospacing="0"/>
        <w:rPr>
          <w:color w:val="000000" w:themeColor="text1"/>
        </w:rPr>
      </w:pPr>
      <w:r w:rsidRPr="00647F96">
        <w:rPr>
          <w:color w:val="000000" w:themeColor="text1"/>
        </w:rPr>
        <w:lastRenderedPageBreak/>
        <w:t xml:space="preserve">Facilities must develop an emergency response plan in the event of a spill or other </w:t>
      </w:r>
      <w:proofErr w:type="gramStart"/>
      <w:r w:rsidRPr="00647F96">
        <w:rPr>
          <w:color w:val="000000" w:themeColor="text1"/>
        </w:rPr>
        <w:t>emergency</w:t>
      </w:r>
      <w:proofErr w:type="gramEnd"/>
      <w:r w:rsidRPr="00647F96">
        <w:rPr>
          <w:color w:val="000000" w:themeColor="text1"/>
        </w:rPr>
        <w:t xml:space="preserve">  </w:t>
      </w:r>
    </w:p>
    <w:p w14:paraId="64BA0657" w14:textId="77777777" w:rsidR="0004776F" w:rsidRPr="00647F96" w:rsidRDefault="0004776F" w:rsidP="00647F96">
      <w:pPr>
        <w:pStyle w:val="NormalWeb"/>
        <w:spacing w:before="0" w:beforeAutospacing="0" w:after="0" w:afterAutospacing="0"/>
        <w:rPr>
          <w:color w:val="000000" w:themeColor="text1"/>
        </w:rPr>
      </w:pPr>
      <w:r w:rsidRPr="00647F96">
        <w:rPr>
          <w:color w:val="000000" w:themeColor="text1"/>
        </w:rPr>
        <w:t xml:space="preserve"> </w:t>
      </w:r>
    </w:p>
    <w:p w14:paraId="4F9230C4" w14:textId="77777777" w:rsidR="0004776F" w:rsidRPr="00647F96" w:rsidRDefault="0004776F" w:rsidP="00647F96">
      <w:pPr>
        <w:pStyle w:val="NormalWeb"/>
        <w:spacing w:before="0" w:beforeAutospacing="0" w:after="0" w:afterAutospacing="0"/>
        <w:rPr>
          <w:color w:val="000000" w:themeColor="text1"/>
        </w:rPr>
      </w:pPr>
      <w:r w:rsidRPr="00647F96">
        <w:rPr>
          <w:color w:val="000000" w:themeColor="text1"/>
        </w:rPr>
        <w:t xml:space="preserve">U.S. DOT has confirmed that they will not issue the Special Permit in advance. This permit can only be issued once the regulated medical waste is suspected or confirmed to be a Category A infectious substance. </w:t>
      </w:r>
    </w:p>
    <w:p w14:paraId="3665B508" w14:textId="77777777" w:rsidR="0004776F" w:rsidRPr="00647F96" w:rsidRDefault="0004776F" w:rsidP="00647F96">
      <w:pPr>
        <w:pStyle w:val="NormalWeb"/>
        <w:spacing w:before="0" w:beforeAutospacing="0" w:after="0" w:afterAutospacing="0"/>
        <w:rPr>
          <w:color w:val="000000" w:themeColor="text1"/>
        </w:rPr>
      </w:pPr>
      <w:r w:rsidRPr="00647F96">
        <w:rPr>
          <w:color w:val="000000" w:themeColor="text1"/>
        </w:rPr>
        <w:t xml:space="preserve"> </w:t>
      </w:r>
    </w:p>
    <w:p w14:paraId="76DEC7F9" w14:textId="77777777" w:rsidR="0004776F" w:rsidRDefault="00930EEA" w:rsidP="00647F96">
      <w:pPr>
        <w:pStyle w:val="NormalWeb"/>
        <w:spacing w:before="0" w:beforeAutospacing="0" w:after="0" w:afterAutospacing="0"/>
        <w:rPr>
          <w:b/>
          <w:color w:val="000000" w:themeColor="text1"/>
        </w:rPr>
      </w:pPr>
      <w:r>
        <w:rPr>
          <w:b/>
          <w:color w:val="000000" w:themeColor="text1"/>
        </w:rPr>
        <w:t>Recommendations f</w:t>
      </w:r>
      <w:r w:rsidRPr="00930EEA">
        <w:rPr>
          <w:b/>
          <w:color w:val="000000" w:themeColor="text1"/>
        </w:rPr>
        <w:t xml:space="preserve">or Liquid Waste Disposal </w:t>
      </w:r>
    </w:p>
    <w:p w14:paraId="5BAA9404" w14:textId="77777777" w:rsidR="00930EEA" w:rsidRPr="00930EEA" w:rsidRDefault="00930EEA" w:rsidP="00647F96">
      <w:pPr>
        <w:pStyle w:val="NormalWeb"/>
        <w:spacing w:before="0" w:beforeAutospacing="0" w:after="0" w:afterAutospacing="0"/>
        <w:rPr>
          <w:b/>
          <w:color w:val="000000" w:themeColor="text1"/>
        </w:rPr>
      </w:pPr>
    </w:p>
    <w:p w14:paraId="39FD4155" w14:textId="77777777" w:rsidR="0004776F" w:rsidRPr="00647F96" w:rsidRDefault="0004776F" w:rsidP="00930EEA">
      <w:pPr>
        <w:pStyle w:val="NormalWeb"/>
        <w:spacing w:before="0" w:beforeAutospacing="0" w:after="0" w:afterAutospacing="0"/>
        <w:ind w:firstLine="720"/>
        <w:rPr>
          <w:color w:val="000000" w:themeColor="text1"/>
        </w:rPr>
      </w:pPr>
      <w:r w:rsidRPr="00647F96">
        <w:rPr>
          <w:color w:val="000000" w:themeColor="text1"/>
        </w:rPr>
        <w:t xml:space="preserve">Wastewater treatment facilities are appropriately able to administer sewage handling processes that are designed to inactivate infectious agents. However, certain disinfection measures should be taken in the case of human exposure prior to delivery to the wastewater treatment facility. </w:t>
      </w:r>
    </w:p>
    <w:p w14:paraId="43C03897" w14:textId="77777777" w:rsidR="0004776F" w:rsidRPr="00647F96" w:rsidRDefault="0004776F" w:rsidP="00930EEA">
      <w:pPr>
        <w:pStyle w:val="NormalWeb"/>
        <w:spacing w:before="0" w:beforeAutospacing="0" w:after="0" w:afterAutospacing="0"/>
        <w:ind w:left="720"/>
        <w:rPr>
          <w:color w:val="000000" w:themeColor="text1"/>
        </w:rPr>
      </w:pPr>
      <w:r w:rsidRPr="00647F96">
        <w:rPr>
          <w:color w:val="000000" w:themeColor="text1"/>
        </w:rPr>
        <w:t xml:space="preserve">• Any liquid generated by the patient or during treatment (i.e., blood transfusion, dialysis, used saline, irrigation procedures) should be delivered to a sanitary sewage receptacle and treated with 1 cup of bleach for 5-10 minutes prior to flushing. </w:t>
      </w:r>
    </w:p>
    <w:p w14:paraId="4047C31C" w14:textId="77777777" w:rsidR="0004776F" w:rsidRPr="00647F96" w:rsidRDefault="0004776F" w:rsidP="00647F96">
      <w:pPr>
        <w:pStyle w:val="NormalWeb"/>
        <w:spacing w:before="0" w:beforeAutospacing="0" w:after="0" w:afterAutospacing="0"/>
        <w:rPr>
          <w:color w:val="000000" w:themeColor="text1"/>
        </w:rPr>
      </w:pPr>
      <w:r w:rsidRPr="00647F96">
        <w:rPr>
          <w:color w:val="000000" w:themeColor="text1"/>
        </w:rPr>
        <w:t xml:space="preserve"> </w:t>
      </w:r>
    </w:p>
    <w:p w14:paraId="1C14E33D" w14:textId="77777777" w:rsidR="0004776F" w:rsidRPr="00647F96" w:rsidRDefault="0004776F" w:rsidP="00647F96">
      <w:pPr>
        <w:pStyle w:val="NormalWeb"/>
        <w:spacing w:before="0" w:beforeAutospacing="0" w:after="0" w:afterAutospacing="0"/>
        <w:rPr>
          <w:color w:val="000000" w:themeColor="text1"/>
        </w:rPr>
      </w:pPr>
      <w:r w:rsidRPr="00647F96">
        <w:rPr>
          <w:color w:val="000000" w:themeColor="text1"/>
        </w:rPr>
        <w:t xml:space="preserve">CAUTION: EPA warns that this method may expose an individual without respiratory protection to chlorine gas. Please make sure to isolate sanitary sewer with standing bleach to prevent exposure to any generated chlorine gas during this disinfection process. Additional care is needed when adding any liquid treatment to sewage to ensure no splashing </w:t>
      </w:r>
      <w:proofErr w:type="gramStart"/>
      <w:r w:rsidRPr="00647F96">
        <w:rPr>
          <w:color w:val="000000" w:themeColor="text1"/>
        </w:rPr>
        <w:t>occurs</w:t>
      </w:r>
      <w:proofErr w:type="gramEnd"/>
      <w:r w:rsidRPr="00647F96">
        <w:rPr>
          <w:color w:val="000000" w:themeColor="text1"/>
        </w:rPr>
        <w:t xml:space="preserve"> </w:t>
      </w:r>
    </w:p>
    <w:p w14:paraId="685E5B5F" w14:textId="77777777" w:rsidR="0004776F" w:rsidRPr="00647F96" w:rsidRDefault="0004776F" w:rsidP="00647F96">
      <w:pPr>
        <w:pStyle w:val="NormalWeb"/>
        <w:spacing w:before="0" w:beforeAutospacing="0" w:after="0" w:afterAutospacing="0"/>
        <w:rPr>
          <w:color w:val="000000" w:themeColor="text1"/>
        </w:rPr>
      </w:pPr>
      <w:r w:rsidRPr="00647F96">
        <w:rPr>
          <w:color w:val="000000" w:themeColor="text1"/>
        </w:rPr>
        <w:t xml:space="preserve"> </w:t>
      </w:r>
    </w:p>
    <w:p w14:paraId="06E43EE8" w14:textId="77777777" w:rsidR="0004776F" w:rsidRPr="00647F96" w:rsidRDefault="0004776F" w:rsidP="00A569F9">
      <w:pPr>
        <w:pStyle w:val="NormalWeb"/>
        <w:spacing w:before="0" w:beforeAutospacing="0" w:after="0" w:afterAutospacing="0"/>
        <w:ind w:left="720"/>
        <w:rPr>
          <w:color w:val="000000" w:themeColor="text1"/>
        </w:rPr>
      </w:pPr>
      <w:r w:rsidRPr="00647F96">
        <w:rPr>
          <w:color w:val="000000" w:themeColor="text1"/>
        </w:rPr>
        <w:t xml:space="preserve">• While CDC guidelines state that liquid waste infected with </w:t>
      </w:r>
      <w:r w:rsidR="00647F96" w:rsidRPr="00647F96">
        <w:rPr>
          <w:color w:val="000000" w:themeColor="text1"/>
        </w:rPr>
        <w:t>Highly infectious disease</w:t>
      </w:r>
      <w:r w:rsidRPr="00647F96">
        <w:rPr>
          <w:color w:val="000000" w:themeColor="text1"/>
        </w:rPr>
        <w:t xml:space="preserve"> virus can be flushed without disinfection treatment, disinfection measures are a precautionary measure against splashing, spills, or service required by public works staff, as well as for local wastewater operators </w:t>
      </w:r>
    </w:p>
    <w:p w14:paraId="7D4DF343" w14:textId="77777777" w:rsidR="0004776F" w:rsidRPr="00647F96" w:rsidRDefault="0004776F" w:rsidP="00647F96">
      <w:pPr>
        <w:pStyle w:val="NormalWeb"/>
        <w:spacing w:before="0" w:beforeAutospacing="0" w:after="0" w:afterAutospacing="0"/>
        <w:rPr>
          <w:color w:val="000000" w:themeColor="text1"/>
        </w:rPr>
      </w:pPr>
      <w:r w:rsidRPr="00647F96">
        <w:rPr>
          <w:color w:val="000000" w:themeColor="text1"/>
        </w:rPr>
        <w:t xml:space="preserve"> </w:t>
      </w:r>
    </w:p>
    <w:p w14:paraId="327A5F41" w14:textId="77777777" w:rsidR="00A569F9" w:rsidRDefault="0004776F" w:rsidP="00647F96">
      <w:pPr>
        <w:pStyle w:val="NormalWeb"/>
        <w:spacing w:before="0" w:beforeAutospacing="0" w:after="0" w:afterAutospacing="0"/>
        <w:rPr>
          <w:color w:val="000000" w:themeColor="text1"/>
        </w:rPr>
      </w:pPr>
      <w:r w:rsidRPr="00647F96">
        <w:rPr>
          <w:color w:val="000000" w:themeColor="text1"/>
        </w:rPr>
        <w:t xml:space="preserve">NOTE: Please be sure to contact your local wastewater treatment facility to notify them in advance of the intent to bleach incoming sanitary sewage infected with </w:t>
      </w:r>
      <w:r w:rsidR="00A569F9">
        <w:rPr>
          <w:color w:val="000000" w:themeColor="text1"/>
        </w:rPr>
        <w:t>h</w:t>
      </w:r>
      <w:r w:rsidR="00647F96" w:rsidRPr="00647F96">
        <w:rPr>
          <w:color w:val="000000" w:themeColor="text1"/>
        </w:rPr>
        <w:t>ighly infectious disease</w:t>
      </w:r>
      <w:r w:rsidRPr="00647F96">
        <w:rPr>
          <w:color w:val="000000" w:themeColor="text1"/>
        </w:rPr>
        <w:t xml:space="preserve"> virus. </w:t>
      </w:r>
    </w:p>
    <w:p w14:paraId="1BA51BA7" w14:textId="77777777" w:rsidR="0004776F" w:rsidRPr="00647F96" w:rsidRDefault="0004776F" w:rsidP="00647F96">
      <w:pPr>
        <w:pStyle w:val="NormalWeb"/>
        <w:spacing w:before="0" w:beforeAutospacing="0" w:after="0" w:afterAutospacing="0"/>
        <w:rPr>
          <w:color w:val="000000" w:themeColor="text1"/>
        </w:rPr>
      </w:pPr>
      <w:r w:rsidRPr="00647F96">
        <w:rPr>
          <w:color w:val="000000" w:themeColor="text1"/>
        </w:rPr>
        <w:t xml:space="preserve"> </w:t>
      </w:r>
    </w:p>
    <w:p w14:paraId="2822A3BF" w14:textId="77777777" w:rsidR="0004776F" w:rsidRDefault="00A569F9" w:rsidP="00647F96">
      <w:pPr>
        <w:pStyle w:val="NormalWeb"/>
        <w:spacing w:before="0" w:beforeAutospacing="0" w:after="0" w:afterAutospacing="0"/>
        <w:rPr>
          <w:b/>
          <w:color w:val="000000" w:themeColor="text1"/>
        </w:rPr>
      </w:pPr>
      <w:r w:rsidRPr="00A569F9">
        <w:rPr>
          <w:b/>
          <w:color w:val="000000" w:themeColor="text1"/>
        </w:rPr>
        <w:t xml:space="preserve">Additional Information </w:t>
      </w:r>
    </w:p>
    <w:p w14:paraId="53F09434" w14:textId="77777777" w:rsidR="00A569F9" w:rsidRPr="00A569F9" w:rsidRDefault="00A569F9" w:rsidP="00647F96">
      <w:pPr>
        <w:pStyle w:val="NormalWeb"/>
        <w:spacing w:before="0" w:beforeAutospacing="0" w:after="0" w:afterAutospacing="0"/>
        <w:rPr>
          <w:b/>
          <w:color w:val="000000" w:themeColor="text1"/>
        </w:rPr>
      </w:pPr>
    </w:p>
    <w:p w14:paraId="4F72631C" w14:textId="77777777" w:rsidR="00A569F9" w:rsidRDefault="0004776F" w:rsidP="00A569F9">
      <w:pPr>
        <w:pStyle w:val="NormalWeb"/>
        <w:spacing w:before="0" w:beforeAutospacing="0" w:after="0" w:afterAutospacing="0"/>
        <w:rPr>
          <w:color w:val="000000" w:themeColor="text1"/>
        </w:rPr>
      </w:pPr>
      <w:r w:rsidRPr="00647F96">
        <w:rPr>
          <w:color w:val="000000" w:themeColor="text1"/>
        </w:rPr>
        <w:t>For additional information, see the following link</w:t>
      </w:r>
      <w:r w:rsidR="00F667A1">
        <w:rPr>
          <w:color w:val="000000" w:themeColor="text1"/>
        </w:rPr>
        <w:t>s</w:t>
      </w:r>
      <w:r w:rsidRPr="00647F96">
        <w:rPr>
          <w:color w:val="000000" w:themeColor="text1"/>
        </w:rPr>
        <w:t xml:space="preserve">:  </w:t>
      </w:r>
    </w:p>
    <w:p w14:paraId="7251094D" w14:textId="77777777" w:rsidR="00A569F9" w:rsidRDefault="00A569F9" w:rsidP="00A569F9">
      <w:pPr>
        <w:pStyle w:val="NormalWeb"/>
        <w:spacing w:before="0" w:beforeAutospacing="0" w:after="0" w:afterAutospacing="0"/>
        <w:rPr>
          <w:color w:val="000000" w:themeColor="text1"/>
        </w:rPr>
      </w:pPr>
    </w:p>
    <w:p w14:paraId="29DED0E6" w14:textId="77777777" w:rsidR="0004776F" w:rsidRPr="00647F96" w:rsidRDefault="00A569F9" w:rsidP="00A569F9">
      <w:pPr>
        <w:pStyle w:val="NormalWeb"/>
        <w:spacing w:before="0" w:beforeAutospacing="0" w:after="0" w:afterAutospacing="0"/>
        <w:rPr>
          <w:color w:val="000000" w:themeColor="text1"/>
        </w:rPr>
      </w:pPr>
      <w:r>
        <w:rPr>
          <w:color w:val="000000" w:themeColor="text1"/>
        </w:rPr>
        <w:t xml:space="preserve">CDC </w:t>
      </w:r>
      <w:r>
        <w:t>Guideline for Disinfection and Sterilization in Healthcare Facilities:</w:t>
      </w:r>
    </w:p>
    <w:p w14:paraId="6400E031" w14:textId="77777777" w:rsidR="00A569F9" w:rsidRDefault="0067161B" w:rsidP="00647F96">
      <w:pPr>
        <w:pStyle w:val="NormalWeb"/>
        <w:spacing w:before="0" w:beforeAutospacing="0" w:after="0" w:afterAutospacing="0"/>
        <w:rPr>
          <w:color w:val="000000" w:themeColor="text1"/>
        </w:rPr>
      </w:pPr>
      <w:hyperlink r:id="rId10" w:history="1">
        <w:r w:rsidR="00A569F9" w:rsidRPr="00A569F9">
          <w:rPr>
            <w:rStyle w:val="Hyperlink"/>
          </w:rPr>
          <w:t>https://www.cdc.gov/vhf/ebola/healthcare-us/cleaning/waste-management.html</w:t>
        </w:r>
      </w:hyperlink>
    </w:p>
    <w:p w14:paraId="10A5B370" w14:textId="77777777" w:rsidR="0004776F" w:rsidRPr="00647F96" w:rsidRDefault="0004776F" w:rsidP="00647F96">
      <w:pPr>
        <w:pStyle w:val="NormalWeb"/>
        <w:spacing w:before="0" w:beforeAutospacing="0" w:after="0" w:afterAutospacing="0"/>
        <w:rPr>
          <w:color w:val="000000" w:themeColor="text1"/>
        </w:rPr>
      </w:pPr>
      <w:r w:rsidRPr="00647F96">
        <w:rPr>
          <w:color w:val="000000" w:themeColor="text1"/>
        </w:rPr>
        <w:t xml:space="preserve"> </w:t>
      </w:r>
    </w:p>
    <w:p w14:paraId="3FE177ED" w14:textId="77777777" w:rsidR="007E0878" w:rsidRDefault="0004776F" w:rsidP="00647F96">
      <w:pPr>
        <w:pStyle w:val="NormalWeb"/>
        <w:spacing w:before="0" w:beforeAutospacing="0" w:after="0" w:afterAutospacing="0"/>
        <w:rPr>
          <w:color w:val="000000" w:themeColor="text1"/>
        </w:rPr>
      </w:pPr>
      <w:r w:rsidRPr="00647F96">
        <w:rPr>
          <w:color w:val="000000" w:themeColor="text1"/>
        </w:rPr>
        <w:t xml:space="preserve">U.S. Department of Transportation Pipeline and Hazardous Materials Safety Administration Transporting Infectious Substances </w:t>
      </w:r>
    </w:p>
    <w:p w14:paraId="47C28754" w14:textId="77777777" w:rsidR="007E0878" w:rsidRDefault="0067161B" w:rsidP="00647F96">
      <w:pPr>
        <w:pStyle w:val="NormalWeb"/>
        <w:spacing w:before="0" w:beforeAutospacing="0" w:after="0" w:afterAutospacing="0"/>
        <w:rPr>
          <w:color w:val="000000" w:themeColor="text1"/>
        </w:rPr>
      </w:pPr>
      <w:hyperlink r:id="rId11" w:history="1">
        <w:r w:rsidR="007E0878" w:rsidRPr="007E0878">
          <w:rPr>
            <w:rStyle w:val="Hyperlink"/>
          </w:rPr>
          <w:t>https://cms.phmsa.dot.gov/transporting-infectious-substances/transporting-infectious-substances-overview</w:t>
        </w:r>
      </w:hyperlink>
    </w:p>
    <w:p w14:paraId="0CCE7F41" w14:textId="77777777" w:rsidR="00F667A1" w:rsidRDefault="00F667A1" w:rsidP="00647F96">
      <w:pPr>
        <w:pStyle w:val="NormalWeb"/>
        <w:spacing w:before="0" w:beforeAutospacing="0" w:after="0" w:afterAutospacing="0"/>
        <w:rPr>
          <w:color w:val="000000" w:themeColor="text1"/>
        </w:rPr>
      </w:pPr>
    </w:p>
    <w:p w14:paraId="68F49D01" w14:textId="77777777" w:rsidR="0004776F" w:rsidRPr="00647F96" w:rsidRDefault="0004776F" w:rsidP="00647F96">
      <w:pPr>
        <w:pStyle w:val="NormalWeb"/>
        <w:spacing w:before="0" w:beforeAutospacing="0" w:after="0" w:afterAutospacing="0"/>
        <w:rPr>
          <w:color w:val="000000" w:themeColor="text1"/>
        </w:rPr>
      </w:pPr>
      <w:r w:rsidRPr="00647F96">
        <w:rPr>
          <w:color w:val="000000" w:themeColor="text1"/>
        </w:rPr>
        <w:t xml:space="preserve"> </w:t>
      </w:r>
    </w:p>
    <w:p w14:paraId="0B3818A4" w14:textId="77777777" w:rsidR="00F667A1" w:rsidRDefault="0004776F" w:rsidP="00647F96">
      <w:pPr>
        <w:pStyle w:val="NormalWeb"/>
        <w:spacing w:before="0" w:beforeAutospacing="0" w:after="0" w:afterAutospacing="0"/>
        <w:rPr>
          <w:color w:val="000000" w:themeColor="text1"/>
        </w:rPr>
      </w:pPr>
      <w:r w:rsidRPr="00647F96">
        <w:rPr>
          <w:color w:val="000000" w:themeColor="text1"/>
        </w:rPr>
        <w:t xml:space="preserve">CDC Interim Guidance for Environmental Infection Control in Hospitals for </w:t>
      </w:r>
      <w:r w:rsidR="00647F96" w:rsidRPr="00647F96">
        <w:rPr>
          <w:color w:val="000000" w:themeColor="text1"/>
        </w:rPr>
        <w:t>Highly infectious disease</w:t>
      </w:r>
      <w:r w:rsidRPr="00647F96">
        <w:rPr>
          <w:color w:val="000000" w:themeColor="text1"/>
        </w:rPr>
        <w:t xml:space="preserve"> Virus</w:t>
      </w:r>
    </w:p>
    <w:p w14:paraId="021606ED" w14:textId="77777777" w:rsidR="00F667A1" w:rsidRDefault="0067161B" w:rsidP="00647F96">
      <w:pPr>
        <w:pStyle w:val="NormalWeb"/>
        <w:spacing w:before="0" w:beforeAutospacing="0" w:after="0" w:afterAutospacing="0"/>
        <w:rPr>
          <w:color w:val="000000" w:themeColor="text1"/>
        </w:rPr>
      </w:pPr>
      <w:hyperlink r:id="rId12" w:history="1">
        <w:r w:rsidR="00F667A1" w:rsidRPr="00F667A1">
          <w:rPr>
            <w:rStyle w:val="Hyperlink"/>
          </w:rPr>
          <w:t>https://www.cdc.gov/vhf/ebola/healthcare-us/cleaning/hospitals.html</w:t>
        </w:r>
      </w:hyperlink>
    </w:p>
    <w:p w14:paraId="2214602E" w14:textId="77777777" w:rsidR="0004776F" w:rsidRPr="00647F96" w:rsidRDefault="0004776F" w:rsidP="00647F96">
      <w:pPr>
        <w:pStyle w:val="NormalWeb"/>
        <w:spacing w:before="0" w:beforeAutospacing="0" w:after="0" w:afterAutospacing="0"/>
        <w:rPr>
          <w:color w:val="000000" w:themeColor="text1"/>
        </w:rPr>
      </w:pPr>
      <w:r w:rsidRPr="00647F96">
        <w:rPr>
          <w:color w:val="000000" w:themeColor="text1"/>
        </w:rPr>
        <w:t xml:space="preserve"> </w:t>
      </w:r>
    </w:p>
    <w:p w14:paraId="02BA9364" w14:textId="77777777" w:rsidR="0004776F" w:rsidRDefault="00F667A1" w:rsidP="00647F96">
      <w:pPr>
        <w:pStyle w:val="NormalWeb"/>
        <w:spacing w:before="0" w:beforeAutospacing="0" w:after="0" w:afterAutospacing="0"/>
        <w:rPr>
          <w:b/>
          <w:color w:val="92CDDC" w:themeColor="accent5" w:themeTint="99"/>
          <w:sz w:val="36"/>
          <w:szCs w:val="36"/>
        </w:rPr>
      </w:pPr>
      <w:r w:rsidRPr="00F667A1">
        <w:rPr>
          <w:b/>
          <w:color w:val="92CDDC" w:themeColor="accent5" w:themeTint="99"/>
          <w:sz w:val="36"/>
          <w:szCs w:val="36"/>
        </w:rPr>
        <w:t>EMS Agency Guidance</w:t>
      </w:r>
    </w:p>
    <w:p w14:paraId="4AB5232B" w14:textId="77777777" w:rsidR="00F667A1" w:rsidRDefault="00F667A1" w:rsidP="00647F96">
      <w:pPr>
        <w:pStyle w:val="NormalWeb"/>
        <w:spacing w:before="0" w:beforeAutospacing="0" w:after="0" w:afterAutospacing="0"/>
        <w:rPr>
          <w:b/>
          <w:color w:val="92CDDC" w:themeColor="accent5" w:themeTint="99"/>
          <w:sz w:val="36"/>
          <w:szCs w:val="36"/>
        </w:rPr>
      </w:pPr>
    </w:p>
    <w:p w14:paraId="2212F92C" w14:textId="77777777" w:rsidR="00F667A1" w:rsidRPr="00F667A1" w:rsidRDefault="00F667A1" w:rsidP="00647F96">
      <w:pPr>
        <w:pStyle w:val="NormalWeb"/>
        <w:spacing w:before="0" w:beforeAutospacing="0" w:after="0" w:afterAutospacing="0"/>
        <w:rPr>
          <w:b/>
        </w:rPr>
      </w:pPr>
      <w:r>
        <w:rPr>
          <w:b/>
        </w:rPr>
        <w:t>Patient Assessment</w:t>
      </w:r>
    </w:p>
    <w:p w14:paraId="4CEDE194" w14:textId="77777777" w:rsidR="0004776F" w:rsidRPr="00647F96" w:rsidRDefault="0004776F" w:rsidP="00647F96">
      <w:pPr>
        <w:pStyle w:val="NormalWeb"/>
        <w:spacing w:before="0" w:beforeAutospacing="0" w:after="0" w:afterAutospacing="0"/>
        <w:rPr>
          <w:color w:val="000000" w:themeColor="text1"/>
        </w:rPr>
      </w:pPr>
    </w:p>
    <w:p w14:paraId="5CF3C760" w14:textId="77777777" w:rsidR="007E5EBF" w:rsidRDefault="007E5EBF" w:rsidP="00F667A1">
      <w:pPr>
        <w:pStyle w:val="NormalWeb"/>
        <w:spacing w:before="0" w:beforeAutospacing="0" w:after="0" w:afterAutospacing="0"/>
        <w:ind w:firstLine="720"/>
        <w:rPr>
          <w:color w:val="000000" w:themeColor="text1"/>
        </w:rPr>
      </w:pPr>
      <w:r w:rsidRPr="00647F96">
        <w:rPr>
          <w:color w:val="000000" w:themeColor="text1"/>
        </w:rPr>
        <w:t xml:space="preserve">This assessment should take place before transport of the patient. To minimize potential exposure, only one EMS should approach the patient and perform the initial screening from at least 3 feet away. If this initial assessment provides the EMS provider with suspicions that the patient could have an infectious disease, such as </w:t>
      </w:r>
      <w:r w:rsidR="00647F96" w:rsidRPr="00647F96">
        <w:rPr>
          <w:color w:val="000000" w:themeColor="text1"/>
        </w:rPr>
        <w:t>Highly infectious disease</w:t>
      </w:r>
      <w:r w:rsidRPr="00647F96">
        <w:rPr>
          <w:color w:val="000000" w:themeColor="text1"/>
        </w:rPr>
        <w:t xml:space="preserve">, then Personal Protective Equipment should be put on before coming into close contact with the patient. </w:t>
      </w:r>
    </w:p>
    <w:p w14:paraId="0F349B33" w14:textId="77777777" w:rsidR="008D780D" w:rsidRDefault="008D780D" w:rsidP="00647F96">
      <w:pPr>
        <w:spacing w:after="0" w:line="240" w:lineRule="auto"/>
        <w:jc w:val="center"/>
        <w:rPr>
          <w:rFonts w:ascii="Times New Roman" w:hAnsi="Times New Roman" w:cs="Times New Roman"/>
          <w:color w:val="000000" w:themeColor="text1"/>
          <w:sz w:val="24"/>
          <w:szCs w:val="24"/>
        </w:rPr>
      </w:pPr>
    </w:p>
    <w:p w14:paraId="7032A786" w14:textId="77777777" w:rsidR="007E5EBF" w:rsidRDefault="007E5EBF" w:rsidP="008D780D">
      <w:pPr>
        <w:spacing w:after="0" w:line="240" w:lineRule="auto"/>
        <w:rPr>
          <w:rFonts w:ascii="Times New Roman" w:hAnsi="Times New Roman" w:cs="Times New Roman"/>
          <w:b/>
          <w:sz w:val="24"/>
          <w:szCs w:val="24"/>
        </w:rPr>
      </w:pPr>
      <w:r w:rsidRPr="008D780D">
        <w:rPr>
          <w:rFonts w:ascii="Times New Roman" w:hAnsi="Times New Roman" w:cs="Times New Roman"/>
          <w:b/>
          <w:sz w:val="24"/>
          <w:szCs w:val="24"/>
        </w:rPr>
        <w:t>Protection of EMS Personnel</w:t>
      </w:r>
    </w:p>
    <w:p w14:paraId="6251C221" w14:textId="77777777" w:rsidR="008D780D" w:rsidRPr="008D780D" w:rsidRDefault="008D780D" w:rsidP="008D780D">
      <w:pPr>
        <w:spacing w:after="0" w:line="240" w:lineRule="auto"/>
        <w:rPr>
          <w:rFonts w:ascii="Times New Roman" w:hAnsi="Times New Roman" w:cs="Times New Roman"/>
          <w:b/>
          <w:sz w:val="24"/>
          <w:szCs w:val="24"/>
        </w:rPr>
      </w:pPr>
    </w:p>
    <w:p w14:paraId="75914EF7" w14:textId="77777777" w:rsidR="005767CB" w:rsidRDefault="007E5EBF" w:rsidP="00647F96">
      <w:pPr>
        <w:pStyle w:val="NormalWeb"/>
        <w:spacing w:before="0" w:beforeAutospacing="0" w:after="0" w:afterAutospacing="0"/>
        <w:ind w:firstLine="720"/>
      </w:pPr>
      <w:r w:rsidRPr="00647F96">
        <w:rPr>
          <w:color w:val="000000" w:themeColor="text1"/>
        </w:rPr>
        <w:t>Protection begins during handling, treatment, transport, or disposal of suspected or known Category A contaminated waste. This begins before the waste is generated, and the best first strategy for protecting EMS personnel is to control the hazard at its source by minimizing the amount of waste generated and ensure that plans are in place to deal with waste before further generating it. Implement protective measures once waste is generated under OSHA standards for bloodborne pathogens by using personal protective equipment (PPE) and respiratory protection (i.e., respirators). (</w:t>
      </w:r>
      <w:proofErr w:type="gramStart"/>
      <w:r w:rsidRPr="00647F96">
        <w:rPr>
          <w:color w:val="000000" w:themeColor="text1"/>
        </w:rPr>
        <w:t>emailed</w:t>
      </w:r>
      <w:proofErr w:type="gramEnd"/>
      <w:r w:rsidRPr="00647F96">
        <w:rPr>
          <w:color w:val="000000" w:themeColor="text1"/>
        </w:rPr>
        <w:t xml:space="preserve"> document; </w:t>
      </w:r>
      <w:r w:rsidRPr="00647F96">
        <w:t xml:space="preserve">OSHA Bloodborne Pathogens Standard. 29 CFR § 1910.1030 (2012), Occupational Safety and Health Administration, U.S. Department of Labor.) </w:t>
      </w:r>
    </w:p>
    <w:p w14:paraId="628F57E8" w14:textId="77777777" w:rsidR="007E5EBF" w:rsidRPr="00647F96" w:rsidRDefault="007E5EBF" w:rsidP="00647F96">
      <w:pPr>
        <w:pStyle w:val="NormalWeb"/>
        <w:spacing w:before="0" w:beforeAutospacing="0" w:after="0" w:afterAutospacing="0"/>
        <w:ind w:firstLine="720"/>
      </w:pPr>
      <w:r w:rsidRPr="00647F96">
        <w:t>Throughout the entire waste handling process, EMS personnel should:</w:t>
      </w:r>
    </w:p>
    <w:p w14:paraId="302C5AFD" w14:textId="77777777" w:rsidR="007E5EBF" w:rsidRPr="00647F96" w:rsidRDefault="007E5EBF" w:rsidP="005767CB">
      <w:pPr>
        <w:pStyle w:val="NormalWeb"/>
        <w:numPr>
          <w:ilvl w:val="0"/>
          <w:numId w:val="13"/>
        </w:numPr>
        <w:spacing w:before="0" w:beforeAutospacing="0" w:after="0" w:afterAutospacing="0"/>
      </w:pPr>
      <w:r w:rsidRPr="00647F96">
        <w:t xml:space="preserve">Limit the number of personnel that handle the </w:t>
      </w:r>
      <w:proofErr w:type="gramStart"/>
      <w:r w:rsidRPr="00647F96">
        <w:t>waste</w:t>
      </w:r>
      <w:proofErr w:type="gramEnd"/>
    </w:p>
    <w:p w14:paraId="30AB717B" w14:textId="77777777" w:rsidR="007E5EBF" w:rsidRPr="00647F96" w:rsidRDefault="007E5EBF" w:rsidP="005767CB">
      <w:pPr>
        <w:pStyle w:val="NormalWeb"/>
        <w:numPr>
          <w:ilvl w:val="0"/>
          <w:numId w:val="13"/>
        </w:numPr>
        <w:spacing w:before="0" w:beforeAutospacing="0" w:after="0" w:afterAutospacing="0"/>
      </w:pPr>
      <w:r w:rsidRPr="00647F96">
        <w:t xml:space="preserve">When changing or removing gloves, hands should be washed with soap and water for at least 20 seconds; use alcohol-based scrubs if soap and water are not </w:t>
      </w:r>
      <w:proofErr w:type="gramStart"/>
      <w:r w:rsidRPr="00647F96">
        <w:t>available</w:t>
      </w:r>
      <w:proofErr w:type="gramEnd"/>
    </w:p>
    <w:p w14:paraId="3C2D3FCB" w14:textId="77777777" w:rsidR="007E5EBF" w:rsidRPr="00647F96" w:rsidRDefault="007E5EBF" w:rsidP="005767CB">
      <w:pPr>
        <w:pStyle w:val="NormalWeb"/>
        <w:numPr>
          <w:ilvl w:val="0"/>
          <w:numId w:val="13"/>
        </w:numPr>
        <w:spacing w:before="0" w:beforeAutospacing="0" w:after="0" w:afterAutospacing="0"/>
      </w:pPr>
      <w:r w:rsidRPr="00647F96">
        <w:t xml:space="preserve">Clothing must be changed as soon as it becomes </w:t>
      </w:r>
      <w:proofErr w:type="gramStart"/>
      <w:r w:rsidRPr="00647F96">
        <w:t>soiled</w:t>
      </w:r>
      <w:proofErr w:type="gramEnd"/>
    </w:p>
    <w:p w14:paraId="2EF52CDB" w14:textId="77777777" w:rsidR="007E5EBF" w:rsidRPr="00647F96" w:rsidRDefault="007E5EBF" w:rsidP="005767CB">
      <w:pPr>
        <w:pStyle w:val="NormalWeb"/>
        <w:numPr>
          <w:ilvl w:val="0"/>
          <w:numId w:val="13"/>
        </w:numPr>
        <w:spacing w:before="0" w:beforeAutospacing="0" w:after="0" w:afterAutospacing="0"/>
      </w:pPr>
      <w:r w:rsidRPr="00647F96">
        <w:t xml:space="preserve">Do not touch face or other exposed parts of the body before washing </w:t>
      </w:r>
      <w:proofErr w:type="gramStart"/>
      <w:r w:rsidRPr="00647F96">
        <w:t>properly</w:t>
      </w:r>
      <w:proofErr w:type="gramEnd"/>
    </w:p>
    <w:p w14:paraId="0EC6ACCC" w14:textId="77777777" w:rsidR="007E5EBF" w:rsidRPr="00647F96" w:rsidRDefault="007E5EBF" w:rsidP="005767CB">
      <w:pPr>
        <w:pStyle w:val="NormalWeb"/>
        <w:numPr>
          <w:ilvl w:val="0"/>
          <w:numId w:val="13"/>
        </w:numPr>
        <w:spacing w:before="0" w:beforeAutospacing="0" w:after="0" w:afterAutospacing="0"/>
      </w:pPr>
      <w:r w:rsidRPr="00647F96">
        <w:t xml:space="preserve">Discard soiled clothing and PPE with other contaminated waste in a biohazard </w:t>
      </w:r>
      <w:proofErr w:type="gramStart"/>
      <w:r w:rsidRPr="00647F96">
        <w:t>bag</w:t>
      </w:r>
      <w:proofErr w:type="gramEnd"/>
    </w:p>
    <w:p w14:paraId="76DFBC69" w14:textId="77777777" w:rsidR="007E5EBF" w:rsidRPr="00647F96" w:rsidRDefault="007E5EBF" w:rsidP="005767CB">
      <w:pPr>
        <w:pStyle w:val="NormalWeb"/>
        <w:numPr>
          <w:ilvl w:val="0"/>
          <w:numId w:val="13"/>
        </w:numPr>
        <w:spacing w:before="0" w:beforeAutospacing="0" w:after="0" w:afterAutospacing="0"/>
      </w:pPr>
      <w:r w:rsidRPr="00647F96">
        <w:t xml:space="preserve">Wear washable footwear or disposable </w:t>
      </w:r>
      <w:proofErr w:type="gramStart"/>
      <w:r w:rsidRPr="00647F96">
        <w:t>booties</w:t>
      </w:r>
      <w:proofErr w:type="gramEnd"/>
    </w:p>
    <w:p w14:paraId="004C1217" w14:textId="77777777" w:rsidR="007E5EBF" w:rsidRDefault="007E5EBF" w:rsidP="005767CB">
      <w:pPr>
        <w:pStyle w:val="NormalWeb"/>
        <w:numPr>
          <w:ilvl w:val="0"/>
          <w:numId w:val="13"/>
        </w:numPr>
        <w:spacing w:before="0" w:beforeAutospacing="0" w:after="0" w:afterAutospacing="0"/>
      </w:pPr>
      <w:r w:rsidRPr="00647F96">
        <w:t xml:space="preserve">If blood, bodily fluids, secretions, or excretions from a </w:t>
      </w:r>
      <w:r w:rsidR="005767CB">
        <w:t xml:space="preserve">patient under investigation (PUI) </w:t>
      </w:r>
      <w:r w:rsidRPr="00647F96">
        <w:t>come</w:t>
      </w:r>
      <w:r w:rsidR="005767CB">
        <w:t>s</w:t>
      </w:r>
      <w:r w:rsidRPr="00647F96">
        <w:t xml:space="preserve"> in direct contact with the EMS provider’s unprotected skin or mucous </w:t>
      </w:r>
      <w:r w:rsidRPr="00647F96">
        <w:lastRenderedPageBreak/>
        <w:t xml:space="preserve">membranes, then the EMS provider should immediately stop working and wash affect skin. </w:t>
      </w:r>
    </w:p>
    <w:p w14:paraId="015EBF45" w14:textId="77777777" w:rsidR="00080F75" w:rsidRDefault="00080F75" w:rsidP="00080F75">
      <w:pPr>
        <w:pStyle w:val="NormalWeb"/>
        <w:spacing w:before="0" w:beforeAutospacing="0" w:after="0" w:afterAutospacing="0"/>
      </w:pPr>
    </w:p>
    <w:p w14:paraId="2ADC756A" w14:textId="77777777" w:rsidR="005767CB" w:rsidRDefault="007E5EBF" w:rsidP="005767CB">
      <w:pPr>
        <w:pStyle w:val="NormalWeb"/>
        <w:spacing w:before="0" w:beforeAutospacing="0" w:after="0" w:afterAutospacing="0"/>
        <w:ind w:firstLine="720"/>
      </w:pPr>
      <w:r w:rsidRPr="00647F96">
        <w:t>If the patient is not showing obvious signs of bleeding, vomiting, or diarrhea and there is no concern for this, EMS personnel should follow the PPE guidance for clinically stable PUIs</w:t>
      </w:r>
      <w:r w:rsidR="008D780D">
        <w:t>:</w:t>
      </w:r>
      <w:r w:rsidRPr="00647F96">
        <w:t xml:space="preserve"> </w:t>
      </w:r>
      <w:hyperlink r:id="rId13" w:history="1">
        <w:r w:rsidR="008D780D" w:rsidRPr="008D780D">
          <w:rPr>
            <w:rStyle w:val="Hyperlink"/>
          </w:rPr>
          <w:t>https://www.cdc.gov/vhf/ebola/healthcare-us/ppe/guidance.html</w:t>
        </w:r>
      </w:hyperlink>
      <w:r w:rsidRPr="00647F96">
        <w:t xml:space="preserve">. </w:t>
      </w:r>
    </w:p>
    <w:p w14:paraId="66911FF6" w14:textId="77777777" w:rsidR="00080F75" w:rsidRDefault="007E5EBF" w:rsidP="007C0F4A">
      <w:pPr>
        <w:pStyle w:val="NormalWeb"/>
        <w:numPr>
          <w:ilvl w:val="0"/>
          <w:numId w:val="14"/>
        </w:numPr>
        <w:spacing w:before="0" w:beforeAutospacing="0" w:after="0" w:afterAutospacing="0"/>
      </w:pPr>
      <w:r w:rsidRPr="00647F96">
        <w:t xml:space="preserve">PPE should be put on before entering the scene and continue to be worn until providers are no longer in contact with patient. </w:t>
      </w:r>
    </w:p>
    <w:p w14:paraId="68840538" w14:textId="77777777" w:rsidR="00080F75" w:rsidRDefault="007E5EBF" w:rsidP="007C0F4A">
      <w:pPr>
        <w:pStyle w:val="NormalWeb"/>
        <w:numPr>
          <w:ilvl w:val="0"/>
          <w:numId w:val="14"/>
        </w:numPr>
        <w:spacing w:before="0" w:beforeAutospacing="0" w:after="0" w:afterAutospacing="0"/>
      </w:pPr>
      <w:r w:rsidRPr="00647F96">
        <w:t xml:space="preserve">Limit the use of needles and other sharps and handle them with extreme care. Dispose in puncture-proof, sealed containers specific to the care of the patient, in accordance </w:t>
      </w:r>
      <w:proofErr w:type="gramStart"/>
      <w:r w:rsidRPr="00647F96">
        <w:t>to</w:t>
      </w:r>
      <w:proofErr w:type="gramEnd"/>
      <w:r w:rsidRPr="00647F96">
        <w:t xml:space="preserve"> OSHA’s bloodborne pathogens standard. </w:t>
      </w:r>
    </w:p>
    <w:p w14:paraId="2BC921EB" w14:textId="77777777" w:rsidR="00080F75" w:rsidRDefault="007E5EBF" w:rsidP="007C0F4A">
      <w:pPr>
        <w:pStyle w:val="NormalWeb"/>
        <w:numPr>
          <w:ilvl w:val="0"/>
          <w:numId w:val="14"/>
        </w:numPr>
        <w:spacing w:before="0" w:beforeAutospacing="0" w:after="0" w:afterAutospacing="0"/>
      </w:pPr>
      <w:r w:rsidRPr="00647F96">
        <w:t xml:space="preserve">If patient is vomiting, give them a large red biohazard bag. </w:t>
      </w:r>
    </w:p>
    <w:p w14:paraId="5E26EF6A" w14:textId="77777777" w:rsidR="00080F75" w:rsidRPr="00080F75" w:rsidRDefault="007E5EBF" w:rsidP="00080F75">
      <w:pPr>
        <w:pStyle w:val="NormalWeb"/>
        <w:numPr>
          <w:ilvl w:val="0"/>
          <w:numId w:val="14"/>
        </w:numPr>
        <w:spacing w:before="0" w:beforeAutospacing="0" w:after="0" w:afterAutospacing="0"/>
        <w:rPr>
          <w:b/>
          <w:color w:val="4BACC6" w:themeColor="accent5"/>
        </w:rPr>
      </w:pPr>
      <w:r w:rsidRPr="00647F96">
        <w:t xml:space="preserve">Wrap patient in an impermeable sheet to reduce contamination of other surfaces if patient has profuse diarrhea </w:t>
      </w:r>
      <w:r w:rsidR="00080F75">
        <w:br/>
      </w:r>
    </w:p>
    <w:p w14:paraId="16BB9472" w14:textId="77777777" w:rsidR="007E5EBF" w:rsidRDefault="007E5EBF" w:rsidP="00080F75">
      <w:pPr>
        <w:pStyle w:val="NormalWeb"/>
        <w:spacing w:before="0" w:beforeAutospacing="0" w:after="0" w:afterAutospacing="0"/>
        <w:rPr>
          <w:b/>
        </w:rPr>
      </w:pPr>
      <w:r w:rsidRPr="00080F75">
        <w:rPr>
          <w:b/>
        </w:rPr>
        <w:t>After Transport Clean-Up</w:t>
      </w:r>
    </w:p>
    <w:p w14:paraId="353A9236" w14:textId="77777777" w:rsidR="00080F75" w:rsidRPr="00080F75" w:rsidRDefault="00080F75" w:rsidP="00080F75">
      <w:pPr>
        <w:pStyle w:val="NormalWeb"/>
        <w:spacing w:before="0" w:beforeAutospacing="0" w:after="0" w:afterAutospacing="0"/>
        <w:rPr>
          <w:b/>
        </w:rPr>
      </w:pPr>
    </w:p>
    <w:p w14:paraId="2307EF52" w14:textId="77777777" w:rsidR="007E5EBF" w:rsidRPr="00647F96" w:rsidRDefault="007E5EBF" w:rsidP="00647F96">
      <w:pPr>
        <w:pStyle w:val="NormalWeb"/>
        <w:spacing w:before="0" w:beforeAutospacing="0" w:after="0" w:afterAutospacing="0"/>
        <w:ind w:firstLine="360"/>
        <w:rPr>
          <w:color w:val="000000" w:themeColor="text1"/>
        </w:rPr>
      </w:pPr>
      <w:r w:rsidRPr="00647F96">
        <w:rPr>
          <w:color w:val="000000" w:themeColor="text1"/>
        </w:rPr>
        <w:tab/>
        <w:t>The following are general guidelines per CDC regulations for cleaning or maintaining EMS transport vehicles and equipment after transporting a PUI:</w:t>
      </w:r>
    </w:p>
    <w:p w14:paraId="0274DE21" w14:textId="77777777" w:rsidR="007E5EBF" w:rsidRPr="00647F96" w:rsidRDefault="007E5EBF" w:rsidP="00647F96">
      <w:pPr>
        <w:pStyle w:val="NormalWeb"/>
        <w:numPr>
          <w:ilvl w:val="0"/>
          <w:numId w:val="3"/>
        </w:numPr>
        <w:spacing w:before="0" w:beforeAutospacing="0" w:after="0" w:afterAutospacing="0"/>
        <w:rPr>
          <w:color w:val="000000" w:themeColor="text1"/>
        </w:rPr>
      </w:pPr>
      <w:r w:rsidRPr="00647F96">
        <w:rPr>
          <w:color w:val="000000" w:themeColor="text1"/>
        </w:rPr>
        <w:t xml:space="preserve">EMS providers should wear PPE if performing cleaning and disinfection where body fluids are present (vomit, diarrhea, sweat, urine, or blood). If </w:t>
      </w:r>
      <w:proofErr w:type="gramStart"/>
      <w:r w:rsidRPr="00647F96">
        <w:rPr>
          <w:color w:val="000000" w:themeColor="text1"/>
        </w:rPr>
        <w:t>not</w:t>
      </w:r>
      <w:proofErr w:type="gramEnd"/>
      <w:r w:rsidRPr="00647F96">
        <w:rPr>
          <w:color w:val="000000" w:themeColor="text1"/>
        </w:rPr>
        <w:t xml:space="preserve"> body fluids are present then minimal PPE can be worn:</w:t>
      </w:r>
    </w:p>
    <w:p w14:paraId="587A5A73" w14:textId="77777777" w:rsidR="007E5EBF" w:rsidRPr="00647F96" w:rsidRDefault="007E5EBF" w:rsidP="00647F96">
      <w:pPr>
        <w:pStyle w:val="NormalWeb"/>
        <w:numPr>
          <w:ilvl w:val="1"/>
          <w:numId w:val="3"/>
        </w:numPr>
        <w:spacing w:before="0" w:beforeAutospacing="0" w:after="0" w:afterAutospacing="0"/>
        <w:rPr>
          <w:color w:val="000000" w:themeColor="text1"/>
        </w:rPr>
      </w:pPr>
      <w:r w:rsidRPr="00647F96">
        <w:rPr>
          <w:color w:val="000000" w:themeColor="text1"/>
        </w:rPr>
        <w:t>Face shield with surgical face mask</w:t>
      </w:r>
    </w:p>
    <w:p w14:paraId="68ECCC0A" w14:textId="77777777" w:rsidR="007E5EBF" w:rsidRPr="00647F96" w:rsidRDefault="007E5EBF" w:rsidP="00647F96">
      <w:pPr>
        <w:pStyle w:val="NormalWeb"/>
        <w:numPr>
          <w:ilvl w:val="1"/>
          <w:numId w:val="3"/>
        </w:numPr>
        <w:spacing w:before="0" w:beforeAutospacing="0" w:after="0" w:afterAutospacing="0"/>
        <w:rPr>
          <w:color w:val="000000" w:themeColor="text1"/>
        </w:rPr>
      </w:pPr>
      <w:r w:rsidRPr="00647F96">
        <w:rPr>
          <w:color w:val="000000" w:themeColor="text1"/>
        </w:rPr>
        <w:t>Impermeable gown</w:t>
      </w:r>
    </w:p>
    <w:p w14:paraId="5F5C7971" w14:textId="77777777" w:rsidR="007E5EBF" w:rsidRPr="00647F96" w:rsidRDefault="007E5EBF" w:rsidP="00647F96">
      <w:pPr>
        <w:pStyle w:val="NormalWeb"/>
        <w:numPr>
          <w:ilvl w:val="1"/>
          <w:numId w:val="3"/>
        </w:numPr>
        <w:spacing w:before="0" w:beforeAutospacing="0" w:after="0" w:afterAutospacing="0"/>
        <w:rPr>
          <w:color w:val="000000" w:themeColor="text1"/>
        </w:rPr>
      </w:pPr>
      <w:r w:rsidRPr="00647F96">
        <w:rPr>
          <w:color w:val="000000" w:themeColor="text1"/>
        </w:rPr>
        <w:t>Two pairs of gloves</w:t>
      </w:r>
    </w:p>
    <w:p w14:paraId="79ABCDC5" w14:textId="77777777" w:rsidR="007E5EBF" w:rsidRPr="00647F96" w:rsidRDefault="007E5EBF" w:rsidP="00647F96">
      <w:pPr>
        <w:pStyle w:val="NormalWeb"/>
        <w:numPr>
          <w:ilvl w:val="0"/>
          <w:numId w:val="3"/>
        </w:numPr>
        <w:spacing w:before="0" w:beforeAutospacing="0" w:after="0" w:afterAutospacing="0"/>
        <w:rPr>
          <w:color w:val="000000" w:themeColor="text1"/>
        </w:rPr>
      </w:pPr>
      <w:r w:rsidRPr="00647F96">
        <w:rPr>
          <w:color w:val="000000" w:themeColor="text1"/>
        </w:rPr>
        <w:t xml:space="preserve">Patient-care surfaces (including stretchers, railings, door handles, medical equipment control panels, and adjacent flooring, walls, and work surfaces) should be cleaned and disinfected </w:t>
      </w:r>
      <w:proofErr w:type="gramStart"/>
      <w:r w:rsidRPr="00647F96">
        <w:rPr>
          <w:color w:val="000000" w:themeColor="text1"/>
        </w:rPr>
        <w:t>thoroughly</w:t>
      </w:r>
      <w:proofErr w:type="gramEnd"/>
    </w:p>
    <w:p w14:paraId="4F020A15" w14:textId="77777777" w:rsidR="007E5EBF" w:rsidRDefault="007E5EBF" w:rsidP="00647F96">
      <w:pPr>
        <w:pStyle w:val="NormalWeb"/>
        <w:numPr>
          <w:ilvl w:val="0"/>
          <w:numId w:val="3"/>
        </w:numPr>
        <w:spacing w:before="0" w:beforeAutospacing="0" w:after="0" w:afterAutospacing="0"/>
        <w:rPr>
          <w:color w:val="000000" w:themeColor="text1"/>
        </w:rPr>
      </w:pPr>
      <w:r w:rsidRPr="00647F96">
        <w:rPr>
          <w:color w:val="000000" w:themeColor="text1"/>
        </w:rPr>
        <w:t>Contaminated reusable patient care equipment (i.e., blood pressure cuff) should be placed in a biohazard bag and labeled for cleaning and disinfection or disposal according to agency pol</w:t>
      </w:r>
      <w:r w:rsidR="00080F75">
        <w:rPr>
          <w:color w:val="000000" w:themeColor="text1"/>
        </w:rPr>
        <w:t>i</w:t>
      </w:r>
      <w:r w:rsidRPr="00647F96">
        <w:rPr>
          <w:color w:val="000000" w:themeColor="text1"/>
        </w:rPr>
        <w:t xml:space="preserve">cies and manufacturer’s instructions by trained personnel wearing correct </w:t>
      </w:r>
      <w:proofErr w:type="gramStart"/>
      <w:r w:rsidRPr="00647F96">
        <w:rPr>
          <w:color w:val="000000" w:themeColor="text1"/>
        </w:rPr>
        <w:t>PPE</w:t>
      </w:r>
      <w:proofErr w:type="gramEnd"/>
    </w:p>
    <w:p w14:paraId="1C49A9DD" w14:textId="77777777" w:rsidR="00080F75" w:rsidRDefault="00080F75" w:rsidP="00080F75">
      <w:pPr>
        <w:pStyle w:val="NormalWeb"/>
        <w:spacing w:before="0" w:beforeAutospacing="0" w:after="0" w:afterAutospacing="0"/>
        <w:rPr>
          <w:b/>
        </w:rPr>
      </w:pPr>
    </w:p>
    <w:p w14:paraId="51063BC8" w14:textId="77777777" w:rsidR="007E5EBF" w:rsidRDefault="007E5EBF" w:rsidP="00080F75">
      <w:pPr>
        <w:pStyle w:val="NormalWeb"/>
        <w:spacing w:before="0" w:beforeAutospacing="0" w:after="0" w:afterAutospacing="0"/>
        <w:rPr>
          <w:b/>
        </w:rPr>
      </w:pPr>
      <w:r w:rsidRPr="00080F75">
        <w:rPr>
          <w:b/>
        </w:rPr>
        <w:t>Disposal of Waste</w:t>
      </w:r>
    </w:p>
    <w:p w14:paraId="77303FD8" w14:textId="77777777" w:rsidR="00080F75" w:rsidRPr="00080F75" w:rsidRDefault="00080F75" w:rsidP="00080F75">
      <w:pPr>
        <w:pStyle w:val="NormalWeb"/>
        <w:spacing w:before="0" w:beforeAutospacing="0" w:after="0" w:afterAutospacing="0"/>
        <w:rPr>
          <w:b/>
        </w:rPr>
      </w:pPr>
    </w:p>
    <w:p w14:paraId="110E39A8" w14:textId="77777777" w:rsidR="007E5EBF" w:rsidRDefault="007E5EBF" w:rsidP="00647F96">
      <w:pPr>
        <w:pStyle w:val="NormalWeb"/>
        <w:spacing w:before="0" w:beforeAutospacing="0" w:after="0" w:afterAutospacing="0"/>
        <w:rPr>
          <w:color w:val="000000" w:themeColor="text1"/>
        </w:rPr>
      </w:pPr>
      <w:r w:rsidRPr="00647F96">
        <w:rPr>
          <w:color w:val="000000" w:themeColor="text1"/>
        </w:rPr>
        <w:tab/>
        <w:t xml:space="preserve">Treatment, storage, and disposal of hazardous waste is regulated under the Resource Conservation and Recovery Act (RCRA) and Minnesota Hazardous Waste Rules. </w:t>
      </w:r>
    </w:p>
    <w:p w14:paraId="69C6A2FE" w14:textId="77777777" w:rsidR="00080F75" w:rsidRDefault="00080F75" w:rsidP="00647F96">
      <w:pPr>
        <w:pStyle w:val="NormalWeb"/>
        <w:spacing w:before="0" w:beforeAutospacing="0" w:after="0" w:afterAutospacing="0"/>
        <w:rPr>
          <w:color w:val="000000" w:themeColor="text1"/>
        </w:rPr>
      </w:pPr>
    </w:p>
    <w:p w14:paraId="0467D6A0" w14:textId="77777777" w:rsidR="007E5EBF" w:rsidRDefault="007E5EBF" w:rsidP="00080F75">
      <w:pPr>
        <w:pStyle w:val="NormalWeb"/>
        <w:spacing w:before="0" w:beforeAutospacing="0" w:after="0" w:afterAutospacing="0"/>
        <w:ind w:firstLine="720"/>
        <w:rPr>
          <w:color w:val="000000" w:themeColor="text1"/>
        </w:rPr>
      </w:pPr>
      <w:r w:rsidRPr="00647F96">
        <w:rPr>
          <w:color w:val="000000" w:themeColor="text1"/>
        </w:rPr>
        <w:t xml:space="preserve">These are the numbers of the hazardous </w:t>
      </w:r>
      <w:proofErr w:type="gramStart"/>
      <w:r w:rsidRPr="00647F96">
        <w:rPr>
          <w:color w:val="000000" w:themeColor="text1"/>
        </w:rPr>
        <w:t>wastes</w:t>
      </w:r>
      <w:proofErr w:type="gramEnd"/>
      <w:r w:rsidRPr="00647F96">
        <w:rPr>
          <w:color w:val="000000" w:themeColor="text1"/>
        </w:rPr>
        <w:t xml:space="preserve"> offices in the state</w:t>
      </w:r>
      <w:r w:rsidR="00080F75">
        <w:rPr>
          <w:color w:val="000000" w:themeColor="text1"/>
        </w:rPr>
        <w:t>:</w:t>
      </w:r>
    </w:p>
    <w:p w14:paraId="1EA15E44" w14:textId="77777777" w:rsidR="00080F75" w:rsidRPr="00647F96" w:rsidRDefault="00080F75" w:rsidP="00080F75">
      <w:pPr>
        <w:pStyle w:val="NormalWeb"/>
        <w:spacing w:before="0" w:beforeAutospacing="0" w:after="0" w:afterAutospacing="0"/>
        <w:ind w:firstLine="720"/>
        <w:rPr>
          <w:color w:val="000000" w:themeColor="text1"/>
        </w:rPr>
      </w:pPr>
    </w:p>
    <w:p w14:paraId="2FAA1BA3" w14:textId="77777777" w:rsidR="007E5EBF" w:rsidRPr="00647F96" w:rsidRDefault="007E5EBF" w:rsidP="00647F96">
      <w:pPr>
        <w:spacing w:after="0" w:line="240" w:lineRule="auto"/>
        <w:rPr>
          <w:rFonts w:ascii="Times New Roman" w:hAnsi="Times New Roman" w:cs="Times New Roman"/>
          <w:color w:val="222222"/>
          <w:sz w:val="24"/>
          <w:szCs w:val="24"/>
        </w:rPr>
      </w:pPr>
      <w:r w:rsidRPr="00647F96">
        <w:rPr>
          <w:rFonts w:ascii="Times New Roman" w:hAnsi="Times New Roman" w:cs="Times New Roman"/>
          <w:b/>
          <w:bCs/>
          <w:color w:val="222222"/>
          <w:sz w:val="24"/>
          <w:szCs w:val="24"/>
        </w:rPr>
        <w:t>Metro County Hazardous Waste Offices</w:t>
      </w:r>
    </w:p>
    <w:p w14:paraId="2BF31A40" w14:textId="77777777" w:rsidR="007E5EBF" w:rsidRPr="00647F96" w:rsidRDefault="007E5EBF" w:rsidP="00647F96">
      <w:pPr>
        <w:numPr>
          <w:ilvl w:val="0"/>
          <w:numId w:val="4"/>
        </w:numPr>
        <w:spacing w:after="0" w:line="240" w:lineRule="auto"/>
        <w:rPr>
          <w:rFonts w:ascii="Times New Roman" w:eastAsia="Times New Roman" w:hAnsi="Times New Roman" w:cs="Times New Roman"/>
          <w:color w:val="222222"/>
          <w:sz w:val="24"/>
          <w:szCs w:val="24"/>
        </w:rPr>
      </w:pPr>
      <w:r w:rsidRPr="00647F96">
        <w:rPr>
          <w:rFonts w:ascii="Times New Roman" w:eastAsia="Times New Roman" w:hAnsi="Times New Roman" w:cs="Times New Roman"/>
          <w:color w:val="222222"/>
          <w:sz w:val="24"/>
          <w:szCs w:val="24"/>
        </w:rPr>
        <w:lastRenderedPageBreak/>
        <w:t>Anoka County 763-422-7093</w:t>
      </w:r>
    </w:p>
    <w:p w14:paraId="2842E184" w14:textId="77777777" w:rsidR="007E5EBF" w:rsidRPr="00647F96" w:rsidRDefault="007E5EBF" w:rsidP="00647F96">
      <w:pPr>
        <w:numPr>
          <w:ilvl w:val="0"/>
          <w:numId w:val="4"/>
        </w:numPr>
        <w:spacing w:after="0" w:line="240" w:lineRule="auto"/>
        <w:rPr>
          <w:rFonts w:ascii="Times New Roman" w:eastAsia="Times New Roman" w:hAnsi="Times New Roman" w:cs="Times New Roman"/>
          <w:color w:val="222222"/>
          <w:sz w:val="24"/>
          <w:szCs w:val="24"/>
        </w:rPr>
      </w:pPr>
      <w:r w:rsidRPr="00647F96">
        <w:rPr>
          <w:rFonts w:ascii="Times New Roman" w:eastAsia="Times New Roman" w:hAnsi="Times New Roman" w:cs="Times New Roman"/>
          <w:color w:val="222222"/>
          <w:sz w:val="24"/>
          <w:szCs w:val="24"/>
        </w:rPr>
        <w:t>Carver County 952-361-1800</w:t>
      </w:r>
    </w:p>
    <w:p w14:paraId="28D25DBF" w14:textId="77777777" w:rsidR="007E5EBF" w:rsidRPr="00647F96" w:rsidRDefault="007E5EBF" w:rsidP="00647F96">
      <w:pPr>
        <w:numPr>
          <w:ilvl w:val="0"/>
          <w:numId w:val="4"/>
        </w:numPr>
        <w:spacing w:after="0" w:line="240" w:lineRule="auto"/>
        <w:rPr>
          <w:rFonts w:ascii="Times New Roman" w:eastAsia="Times New Roman" w:hAnsi="Times New Roman" w:cs="Times New Roman"/>
          <w:color w:val="222222"/>
          <w:sz w:val="24"/>
          <w:szCs w:val="24"/>
        </w:rPr>
      </w:pPr>
      <w:r w:rsidRPr="00647F96">
        <w:rPr>
          <w:rFonts w:ascii="Times New Roman" w:eastAsia="Times New Roman" w:hAnsi="Times New Roman" w:cs="Times New Roman"/>
          <w:color w:val="222222"/>
          <w:sz w:val="24"/>
          <w:szCs w:val="24"/>
        </w:rPr>
        <w:t>Dakota County 952-891-7557</w:t>
      </w:r>
    </w:p>
    <w:p w14:paraId="2963253B" w14:textId="77777777" w:rsidR="007E5EBF" w:rsidRPr="00647F96" w:rsidRDefault="007E5EBF" w:rsidP="00647F96">
      <w:pPr>
        <w:numPr>
          <w:ilvl w:val="0"/>
          <w:numId w:val="4"/>
        </w:numPr>
        <w:spacing w:after="0" w:line="240" w:lineRule="auto"/>
        <w:rPr>
          <w:rFonts w:ascii="Times New Roman" w:eastAsia="Times New Roman" w:hAnsi="Times New Roman" w:cs="Times New Roman"/>
          <w:color w:val="222222"/>
          <w:sz w:val="24"/>
          <w:szCs w:val="24"/>
        </w:rPr>
      </w:pPr>
      <w:r w:rsidRPr="00647F96">
        <w:rPr>
          <w:rFonts w:ascii="Times New Roman" w:eastAsia="Times New Roman" w:hAnsi="Times New Roman" w:cs="Times New Roman"/>
          <w:color w:val="222222"/>
          <w:sz w:val="24"/>
          <w:szCs w:val="24"/>
        </w:rPr>
        <w:t>Hennepin County 612-348-3777</w:t>
      </w:r>
    </w:p>
    <w:p w14:paraId="5B980ECA" w14:textId="77777777" w:rsidR="007E5EBF" w:rsidRPr="00647F96" w:rsidRDefault="007E5EBF" w:rsidP="00647F96">
      <w:pPr>
        <w:numPr>
          <w:ilvl w:val="0"/>
          <w:numId w:val="4"/>
        </w:numPr>
        <w:spacing w:after="0" w:line="240" w:lineRule="auto"/>
        <w:rPr>
          <w:rFonts w:ascii="Times New Roman" w:eastAsia="Times New Roman" w:hAnsi="Times New Roman" w:cs="Times New Roman"/>
          <w:color w:val="222222"/>
          <w:sz w:val="24"/>
          <w:szCs w:val="24"/>
        </w:rPr>
      </w:pPr>
      <w:r w:rsidRPr="00647F96">
        <w:rPr>
          <w:rFonts w:ascii="Times New Roman" w:eastAsia="Times New Roman" w:hAnsi="Times New Roman" w:cs="Times New Roman"/>
          <w:color w:val="222222"/>
          <w:sz w:val="24"/>
          <w:szCs w:val="24"/>
        </w:rPr>
        <w:t>Ramsey County 651-266-1199</w:t>
      </w:r>
    </w:p>
    <w:p w14:paraId="737C4AB9" w14:textId="77777777" w:rsidR="007E5EBF" w:rsidRPr="00647F96" w:rsidRDefault="007E5EBF" w:rsidP="00647F96">
      <w:pPr>
        <w:numPr>
          <w:ilvl w:val="0"/>
          <w:numId w:val="4"/>
        </w:numPr>
        <w:spacing w:after="0" w:line="240" w:lineRule="auto"/>
        <w:rPr>
          <w:rFonts w:ascii="Times New Roman" w:eastAsia="Times New Roman" w:hAnsi="Times New Roman" w:cs="Times New Roman"/>
          <w:color w:val="222222"/>
          <w:sz w:val="24"/>
          <w:szCs w:val="24"/>
        </w:rPr>
      </w:pPr>
      <w:r w:rsidRPr="00647F96">
        <w:rPr>
          <w:rFonts w:ascii="Times New Roman" w:eastAsia="Times New Roman" w:hAnsi="Times New Roman" w:cs="Times New Roman"/>
          <w:color w:val="222222"/>
          <w:sz w:val="24"/>
          <w:szCs w:val="24"/>
        </w:rPr>
        <w:t>Scott County 952-496-8177</w:t>
      </w:r>
    </w:p>
    <w:p w14:paraId="024B9844" w14:textId="77777777" w:rsidR="007E5EBF" w:rsidRDefault="007E5EBF" w:rsidP="00647F96">
      <w:pPr>
        <w:numPr>
          <w:ilvl w:val="0"/>
          <w:numId w:val="4"/>
        </w:numPr>
        <w:spacing w:after="0" w:line="240" w:lineRule="auto"/>
        <w:rPr>
          <w:rFonts w:ascii="Times New Roman" w:eastAsia="Times New Roman" w:hAnsi="Times New Roman" w:cs="Times New Roman"/>
          <w:color w:val="222222"/>
          <w:sz w:val="24"/>
          <w:szCs w:val="24"/>
        </w:rPr>
      </w:pPr>
      <w:r w:rsidRPr="00647F96">
        <w:rPr>
          <w:rFonts w:ascii="Times New Roman" w:eastAsia="Times New Roman" w:hAnsi="Times New Roman" w:cs="Times New Roman"/>
          <w:color w:val="222222"/>
          <w:sz w:val="24"/>
          <w:szCs w:val="24"/>
        </w:rPr>
        <w:t>Washington County 651-430-6655</w:t>
      </w:r>
    </w:p>
    <w:p w14:paraId="291D2253" w14:textId="77777777" w:rsidR="00080F75" w:rsidRDefault="00080F75" w:rsidP="00080F75">
      <w:pPr>
        <w:spacing w:after="0" w:line="240" w:lineRule="auto"/>
        <w:rPr>
          <w:rFonts w:ascii="Times New Roman" w:eastAsia="Times New Roman" w:hAnsi="Times New Roman" w:cs="Times New Roman"/>
          <w:color w:val="222222"/>
          <w:sz w:val="24"/>
          <w:szCs w:val="24"/>
        </w:rPr>
      </w:pPr>
    </w:p>
    <w:p w14:paraId="5DBA97C7" w14:textId="77777777" w:rsidR="00080F75" w:rsidRPr="00080F75" w:rsidRDefault="00080F75" w:rsidP="00080F75">
      <w:pPr>
        <w:spacing w:after="188" w:line="240" w:lineRule="auto"/>
        <w:rPr>
          <w:rFonts w:ascii="Times New Roman" w:eastAsia="Times New Roman" w:hAnsi="Times New Roman" w:cs="Times New Roman"/>
          <w:color w:val="222222"/>
          <w:sz w:val="24"/>
          <w:szCs w:val="24"/>
          <w:lang w:val="en"/>
        </w:rPr>
      </w:pPr>
      <w:r w:rsidRPr="00080F75">
        <w:rPr>
          <w:rFonts w:ascii="Times New Roman" w:eastAsia="Times New Roman" w:hAnsi="Times New Roman" w:cs="Times New Roman"/>
          <w:b/>
          <w:bCs/>
          <w:color w:val="222222"/>
          <w:sz w:val="24"/>
          <w:szCs w:val="24"/>
          <w:lang w:val="en"/>
        </w:rPr>
        <w:t>Minnesota Pollution Control Agency</w:t>
      </w:r>
    </w:p>
    <w:p w14:paraId="5A5DA507" w14:textId="77777777" w:rsidR="00080F75" w:rsidRPr="00080F75" w:rsidRDefault="00080F75" w:rsidP="00080F75">
      <w:pPr>
        <w:numPr>
          <w:ilvl w:val="0"/>
          <w:numId w:val="15"/>
        </w:numPr>
        <w:spacing w:before="100" w:beforeAutospacing="1" w:after="100" w:afterAutospacing="1" w:line="240" w:lineRule="auto"/>
        <w:ind w:left="495"/>
        <w:rPr>
          <w:rFonts w:ascii="Times New Roman" w:eastAsia="Times New Roman" w:hAnsi="Times New Roman" w:cs="Times New Roman"/>
          <w:color w:val="222222"/>
          <w:sz w:val="24"/>
          <w:szCs w:val="24"/>
          <w:lang w:val="en"/>
        </w:rPr>
      </w:pPr>
      <w:r w:rsidRPr="00080F75">
        <w:rPr>
          <w:rFonts w:ascii="Times New Roman" w:eastAsia="Times New Roman" w:hAnsi="Times New Roman" w:cs="Times New Roman"/>
          <w:color w:val="222222"/>
          <w:sz w:val="24"/>
          <w:szCs w:val="24"/>
          <w:lang w:val="en"/>
        </w:rPr>
        <w:t>Toll free 800-657-3864</w:t>
      </w:r>
    </w:p>
    <w:p w14:paraId="5590E16C" w14:textId="77777777" w:rsidR="00080F75" w:rsidRPr="00080F75" w:rsidRDefault="00080F75" w:rsidP="00080F75">
      <w:pPr>
        <w:numPr>
          <w:ilvl w:val="0"/>
          <w:numId w:val="15"/>
        </w:numPr>
        <w:spacing w:before="100" w:beforeAutospacing="1" w:after="100" w:afterAutospacing="1" w:line="240" w:lineRule="auto"/>
        <w:ind w:left="495"/>
        <w:rPr>
          <w:rFonts w:ascii="Times New Roman" w:eastAsia="Times New Roman" w:hAnsi="Times New Roman" w:cs="Times New Roman"/>
          <w:color w:val="222222"/>
          <w:sz w:val="24"/>
          <w:szCs w:val="24"/>
          <w:lang w:val="en"/>
        </w:rPr>
      </w:pPr>
      <w:r w:rsidRPr="00080F75">
        <w:rPr>
          <w:rFonts w:ascii="Times New Roman" w:eastAsia="Times New Roman" w:hAnsi="Times New Roman" w:cs="Times New Roman"/>
          <w:color w:val="222222"/>
          <w:sz w:val="24"/>
          <w:szCs w:val="24"/>
          <w:lang w:val="en"/>
        </w:rPr>
        <w:t>Brainerd 218-828-2492</w:t>
      </w:r>
    </w:p>
    <w:p w14:paraId="3224CAF2" w14:textId="77777777" w:rsidR="00080F75" w:rsidRPr="00080F75" w:rsidRDefault="00080F75" w:rsidP="00080F75">
      <w:pPr>
        <w:numPr>
          <w:ilvl w:val="0"/>
          <w:numId w:val="15"/>
        </w:numPr>
        <w:spacing w:before="100" w:beforeAutospacing="1" w:after="100" w:afterAutospacing="1" w:line="240" w:lineRule="auto"/>
        <w:ind w:left="495"/>
        <w:rPr>
          <w:rFonts w:ascii="Times New Roman" w:eastAsia="Times New Roman" w:hAnsi="Times New Roman" w:cs="Times New Roman"/>
          <w:color w:val="222222"/>
          <w:sz w:val="24"/>
          <w:szCs w:val="24"/>
          <w:lang w:val="en"/>
        </w:rPr>
      </w:pPr>
      <w:r w:rsidRPr="00080F75">
        <w:rPr>
          <w:rFonts w:ascii="Times New Roman" w:eastAsia="Times New Roman" w:hAnsi="Times New Roman" w:cs="Times New Roman"/>
          <w:color w:val="222222"/>
          <w:sz w:val="24"/>
          <w:szCs w:val="24"/>
          <w:lang w:val="en"/>
        </w:rPr>
        <w:t>Detroit Lakes 218-847-1519</w:t>
      </w:r>
    </w:p>
    <w:p w14:paraId="488A702B" w14:textId="77777777" w:rsidR="00080F75" w:rsidRPr="00080F75" w:rsidRDefault="00080F75" w:rsidP="00080F75">
      <w:pPr>
        <w:numPr>
          <w:ilvl w:val="0"/>
          <w:numId w:val="15"/>
        </w:numPr>
        <w:spacing w:before="100" w:beforeAutospacing="1" w:after="100" w:afterAutospacing="1" w:line="240" w:lineRule="auto"/>
        <w:ind w:left="495"/>
        <w:rPr>
          <w:rFonts w:ascii="Times New Roman" w:eastAsia="Times New Roman" w:hAnsi="Times New Roman" w:cs="Times New Roman"/>
          <w:color w:val="222222"/>
          <w:sz w:val="24"/>
          <w:szCs w:val="24"/>
          <w:lang w:val="en"/>
        </w:rPr>
      </w:pPr>
      <w:r w:rsidRPr="00080F75">
        <w:rPr>
          <w:rFonts w:ascii="Times New Roman" w:eastAsia="Times New Roman" w:hAnsi="Times New Roman" w:cs="Times New Roman"/>
          <w:color w:val="222222"/>
          <w:sz w:val="24"/>
          <w:szCs w:val="24"/>
          <w:lang w:val="en"/>
        </w:rPr>
        <w:t>Duluth 218-723-4660</w:t>
      </w:r>
    </w:p>
    <w:p w14:paraId="01FDFBB0" w14:textId="77777777" w:rsidR="00080F75" w:rsidRPr="00080F75" w:rsidRDefault="00080F75" w:rsidP="00080F75">
      <w:pPr>
        <w:numPr>
          <w:ilvl w:val="0"/>
          <w:numId w:val="15"/>
        </w:numPr>
        <w:spacing w:before="100" w:beforeAutospacing="1" w:after="100" w:afterAutospacing="1" w:line="240" w:lineRule="auto"/>
        <w:ind w:left="495"/>
        <w:rPr>
          <w:rFonts w:ascii="Times New Roman" w:eastAsia="Times New Roman" w:hAnsi="Times New Roman" w:cs="Times New Roman"/>
          <w:color w:val="222222"/>
          <w:sz w:val="24"/>
          <w:szCs w:val="24"/>
          <w:lang w:val="en"/>
        </w:rPr>
      </w:pPr>
      <w:r w:rsidRPr="00080F75">
        <w:rPr>
          <w:rFonts w:ascii="Times New Roman" w:eastAsia="Times New Roman" w:hAnsi="Times New Roman" w:cs="Times New Roman"/>
          <w:color w:val="222222"/>
          <w:sz w:val="24"/>
          <w:szCs w:val="24"/>
          <w:lang w:val="en"/>
        </w:rPr>
        <w:t>Mankato 507-389-5977</w:t>
      </w:r>
    </w:p>
    <w:p w14:paraId="07AD4F28" w14:textId="77777777" w:rsidR="00080F75" w:rsidRPr="00080F75" w:rsidRDefault="00080F75" w:rsidP="00080F75">
      <w:pPr>
        <w:numPr>
          <w:ilvl w:val="0"/>
          <w:numId w:val="15"/>
        </w:numPr>
        <w:spacing w:before="100" w:beforeAutospacing="1" w:after="100" w:afterAutospacing="1" w:line="240" w:lineRule="auto"/>
        <w:ind w:left="495"/>
        <w:rPr>
          <w:rFonts w:ascii="Times New Roman" w:eastAsia="Times New Roman" w:hAnsi="Times New Roman" w:cs="Times New Roman"/>
          <w:color w:val="222222"/>
          <w:sz w:val="24"/>
          <w:szCs w:val="24"/>
          <w:lang w:val="en"/>
        </w:rPr>
      </w:pPr>
      <w:r w:rsidRPr="00080F75">
        <w:rPr>
          <w:rFonts w:ascii="Times New Roman" w:eastAsia="Times New Roman" w:hAnsi="Times New Roman" w:cs="Times New Roman"/>
          <w:color w:val="222222"/>
          <w:sz w:val="24"/>
          <w:szCs w:val="24"/>
          <w:lang w:val="en"/>
        </w:rPr>
        <w:t>Marshall 507-537-7146</w:t>
      </w:r>
    </w:p>
    <w:p w14:paraId="1EC25833" w14:textId="77777777" w:rsidR="00080F75" w:rsidRPr="00080F75" w:rsidRDefault="00080F75" w:rsidP="00080F75">
      <w:pPr>
        <w:numPr>
          <w:ilvl w:val="0"/>
          <w:numId w:val="15"/>
        </w:numPr>
        <w:spacing w:before="100" w:beforeAutospacing="1" w:after="100" w:afterAutospacing="1" w:line="240" w:lineRule="auto"/>
        <w:ind w:left="495"/>
        <w:rPr>
          <w:rFonts w:ascii="Times New Roman" w:eastAsia="Times New Roman" w:hAnsi="Times New Roman" w:cs="Times New Roman"/>
          <w:color w:val="222222"/>
          <w:sz w:val="24"/>
          <w:szCs w:val="24"/>
          <w:lang w:val="en"/>
        </w:rPr>
      </w:pPr>
      <w:r w:rsidRPr="00080F75">
        <w:rPr>
          <w:rFonts w:ascii="Times New Roman" w:eastAsia="Times New Roman" w:hAnsi="Times New Roman" w:cs="Times New Roman"/>
          <w:color w:val="222222"/>
          <w:sz w:val="24"/>
          <w:szCs w:val="24"/>
          <w:lang w:val="en"/>
        </w:rPr>
        <w:t>Rochester 507-285-7343</w:t>
      </w:r>
    </w:p>
    <w:p w14:paraId="20BE5C82" w14:textId="77777777" w:rsidR="00080F75" w:rsidRPr="00080F75" w:rsidRDefault="00080F75" w:rsidP="00080F75">
      <w:pPr>
        <w:numPr>
          <w:ilvl w:val="0"/>
          <w:numId w:val="15"/>
        </w:numPr>
        <w:spacing w:before="100" w:beforeAutospacing="1" w:after="100" w:afterAutospacing="1" w:line="240" w:lineRule="auto"/>
        <w:ind w:left="495"/>
        <w:rPr>
          <w:rFonts w:ascii="Times New Roman" w:eastAsia="Times New Roman" w:hAnsi="Times New Roman" w:cs="Times New Roman"/>
          <w:color w:val="222222"/>
          <w:sz w:val="24"/>
          <w:szCs w:val="24"/>
          <w:lang w:val="en"/>
        </w:rPr>
      </w:pPr>
      <w:r w:rsidRPr="00080F75">
        <w:rPr>
          <w:rFonts w:ascii="Times New Roman" w:eastAsia="Times New Roman" w:hAnsi="Times New Roman" w:cs="Times New Roman"/>
          <w:color w:val="222222"/>
          <w:sz w:val="24"/>
          <w:szCs w:val="24"/>
          <w:lang w:val="en"/>
        </w:rPr>
        <w:t>St. Paul 651-296-6300</w:t>
      </w:r>
    </w:p>
    <w:p w14:paraId="41EFB677" w14:textId="77777777" w:rsidR="00080F75" w:rsidRPr="00080F75" w:rsidRDefault="00080F75" w:rsidP="00080F75">
      <w:pPr>
        <w:numPr>
          <w:ilvl w:val="0"/>
          <w:numId w:val="15"/>
        </w:numPr>
        <w:spacing w:before="100" w:beforeAutospacing="1" w:after="100" w:afterAutospacing="1" w:line="240" w:lineRule="auto"/>
        <w:ind w:left="495"/>
        <w:rPr>
          <w:rFonts w:ascii="Times New Roman" w:eastAsia="Times New Roman" w:hAnsi="Times New Roman" w:cs="Times New Roman"/>
          <w:color w:val="222222"/>
          <w:sz w:val="24"/>
          <w:szCs w:val="24"/>
          <w:lang w:val="en"/>
        </w:rPr>
      </w:pPr>
      <w:r w:rsidRPr="00080F75">
        <w:rPr>
          <w:rFonts w:ascii="Times New Roman" w:eastAsia="Times New Roman" w:hAnsi="Times New Roman" w:cs="Times New Roman"/>
          <w:color w:val="222222"/>
          <w:sz w:val="24"/>
          <w:szCs w:val="24"/>
          <w:lang w:val="en"/>
        </w:rPr>
        <w:t>Willmar 320-214-3786</w:t>
      </w:r>
    </w:p>
    <w:p w14:paraId="2437BD26" w14:textId="77777777" w:rsidR="00080F75" w:rsidRPr="00647F96" w:rsidRDefault="00080F75" w:rsidP="00080F7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Reference:</w:t>
      </w:r>
    </w:p>
    <w:p w14:paraId="096028BC" w14:textId="77777777" w:rsidR="00080F75" w:rsidRPr="00080F75" w:rsidRDefault="00080F75" w:rsidP="00647F96">
      <w:pPr>
        <w:pStyle w:val="NormalWeb"/>
        <w:spacing w:before="0" w:beforeAutospacing="0" w:after="0" w:afterAutospacing="0"/>
      </w:pPr>
    </w:p>
    <w:p w14:paraId="4907642D" w14:textId="77777777" w:rsidR="00080F75" w:rsidRPr="00080F75" w:rsidRDefault="00080F75" w:rsidP="00647F96">
      <w:pPr>
        <w:pStyle w:val="NormalWeb"/>
        <w:spacing w:before="0" w:beforeAutospacing="0" w:after="0" w:afterAutospacing="0"/>
      </w:pPr>
      <w:r w:rsidRPr="00080F75">
        <w:t>Minnesota Pollution Control Agency</w:t>
      </w:r>
    </w:p>
    <w:p w14:paraId="3B9AEECF" w14:textId="77777777" w:rsidR="007E5EBF" w:rsidRDefault="0067161B" w:rsidP="00647F96">
      <w:pPr>
        <w:pStyle w:val="NormalWeb"/>
        <w:spacing w:before="0" w:beforeAutospacing="0" w:after="0" w:afterAutospacing="0"/>
        <w:rPr>
          <w:rStyle w:val="Hyperlink"/>
        </w:rPr>
      </w:pPr>
      <w:hyperlink r:id="rId14" w:history="1">
        <w:r w:rsidR="00080F75" w:rsidRPr="00080F75">
          <w:rPr>
            <w:rStyle w:val="Hyperlink"/>
          </w:rPr>
          <w:t>https://www.pca.state.mn.us/waste/hazardous-waste</w:t>
        </w:r>
      </w:hyperlink>
    </w:p>
    <w:p w14:paraId="41C85A95" w14:textId="77777777" w:rsidR="00080F75" w:rsidRDefault="00080F75" w:rsidP="00647F96">
      <w:pPr>
        <w:pStyle w:val="NormalWeb"/>
        <w:spacing w:before="0" w:beforeAutospacing="0" w:after="0" w:afterAutospacing="0"/>
        <w:rPr>
          <w:rStyle w:val="Hyperlink"/>
        </w:rPr>
      </w:pPr>
    </w:p>
    <w:p w14:paraId="3E47E8BC" w14:textId="77777777" w:rsidR="00080F75" w:rsidRDefault="00080F75" w:rsidP="00080F75">
      <w:pPr>
        <w:pStyle w:val="NormalWeb"/>
        <w:spacing w:before="0" w:beforeAutospacing="0" w:after="0" w:afterAutospacing="0"/>
      </w:pPr>
      <w:r>
        <w:t>CDC</w:t>
      </w:r>
      <w:r w:rsidR="0072516E">
        <w:t xml:space="preserve"> -</w:t>
      </w:r>
      <w:r>
        <w:t xml:space="preserve"> </w:t>
      </w:r>
      <w:r>
        <w:rPr>
          <w:color w:val="333333"/>
        </w:rPr>
        <w:t>Procedures for Safe Handling and Management of Ebola-Associated Waste</w:t>
      </w:r>
    </w:p>
    <w:p w14:paraId="67B84FA2" w14:textId="77777777" w:rsidR="00080F75" w:rsidRPr="00080F75" w:rsidRDefault="0067161B" w:rsidP="00080F75">
      <w:pPr>
        <w:pStyle w:val="NormalWeb"/>
        <w:spacing w:before="0" w:beforeAutospacing="0" w:after="0" w:afterAutospacing="0"/>
        <w:rPr>
          <w:rStyle w:val="Hyperlink"/>
          <w:color w:val="000000" w:themeColor="text1"/>
          <w:u w:val="none"/>
        </w:rPr>
      </w:pPr>
      <w:hyperlink r:id="rId15" w:history="1">
        <w:r w:rsidR="00080F75" w:rsidRPr="00647F96">
          <w:rPr>
            <w:rStyle w:val="Hyperlink"/>
          </w:rPr>
          <w:t>https://www.cdc.gov/vhf/highly infectious disease/healthcare-us/cleaning/handling-waste.html</w:t>
        </w:r>
      </w:hyperlink>
    </w:p>
    <w:p w14:paraId="24D3E3CD" w14:textId="77777777" w:rsidR="00080F75" w:rsidRDefault="00080F75" w:rsidP="00080F75">
      <w:pPr>
        <w:pStyle w:val="NormalWeb"/>
        <w:spacing w:before="0" w:beforeAutospacing="0" w:after="0" w:afterAutospacing="0"/>
        <w:ind w:left="1080"/>
        <w:rPr>
          <w:color w:val="000000" w:themeColor="text1"/>
        </w:rPr>
      </w:pPr>
    </w:p>
    <w:p w14:paraId="6FD7032A" w14:textId="77777777" w:rsidR="00080F75" w:rsidRDefault="0072516E" w:rsidP="00080F75">
      <w:pPr>
        <w:pStyle w:val="NormalWeb"/>
        <w:spacing w:before="0" w:beforeAutospacing="0" w:after="0" w:afterAutospacing="0"/>
        <w:rPr>
          <w:color w:val="333333"/>
        </w:rPr>
      </w:pPr>
      <w:r>
        <w:rPr>
          <w:color w:val="333333"/>
        </w:rPr>
        <w:t xml:space="preserve">CDC - Guidance on Personal Protective Equipment (PPE) To Be Used </w:t>
      </w:r>
      <w:proofErr w:type="gramStart"/>
      <w:r>
        <w:rPr>
          <w:color w:val="333333"/>
        </w:rPr>
        <w:t>By</w:t>
      </w:r>
      <w:proofErr w:type="gramEnd"/>
      <w:r>
        <w:rPr>
          <w:color w:val="333333"/>
        </w:rPr>
        <w:t xml:space="preserve"> Healthcare Workers during Management of Patients with Confirmed Ebola or Persons under Investigation (PUIs) for Ebola who are Clinically Unstable or Have Bleeding, Vomiting, or Diarrhea in U.S. Hospitals, Including Procedures for Donning and Doffing PPE</w:t>
      </w:r>
    </w:p>
    <w:p w14:paraId="26A15E57" w14:textId="77777777" w:rsidR="0072516E" w:rsidRDefault="0067161B" w:rsidP="00080F75">
      <w:pPr>
        <w:pStyle w:val="NormalWeb"/>
        <w:spacing w:before="0" w:beforeAutospacing="0" w:after="0" w:afterAutospacing="0"/>
        <w:rPr>
          <w:color w:val="000000" w:themeColor="text1"/>
        </w:rPr>
      </w:pPr>
      <w:hyperlink r:id="rId16" w:history="1">
        <w:r w:rsidR="0072516E" w:rsidRPr="0072516E">
          <w:rPr>
            <w:rStyle w:val="Hyperlink"/>
          </w:rPr>
          <w:t>https://www.cdc.gov/vhf/ebola/healthcare-us/ppe/guidance.html</w:t>
        </w:r>
      </w:hyperlink>
    </w:p>
    <w:p w14:paraId="17AD01A8" w14:textId="77777777" w:rsidR="0072516E" w:rsidRDefault="0072516E" w:rsidP="00080F75">
      <w:pPr>
        <w:pStyle w:val="NormalWeb"/>
        <w:spacing w:before="0" w:beforeAutospacing="0" w:after="0" w:afterAutospacing="0"/>
        <w:rPr>
          <w:color w:val="000000" w:themeColor="text1"/>
        </w:rPr>
      </w:pPr>
    </w:p>
    <w:p w14:paraId="63253989" w14:textId="77777777" w:rsidR="0072516E" w:rsidRDefault="0072516E" w:rsidP="00080F75">
      <w:pPr>
        <w:pStyle w:val="NormalWeb"/>
        <w:spacing w:before="0" w:beforeAutospacing="0" w:after="0" w:afterAutospacing="0"/>
      </w:pPr>
      <w:r>
        <w:rPr>
          <w:color w:val="000000" w:themeColor="text1"/>
        </w:rPr>
        <w:t xml:space="preserve">CDC - </w:t>
      </w:r>
      <w:r w:rsidRPr="0072516E">
        <w:t>Interim Guidance for Emergency Medical Services (EMS) Systems and 9-1-1 Public Safety Answering Points (PSAPs) for Management of Patients Under Investigation (PUIs) for Ebola Virus Disease (EVD) in the United States</w:t>
      </w:r>
    </w:p>
    <w:p w14:paraId="261D1CC1" w14:textId="77777777" w:rsidR="0072516E" w:rsidRDefault="0067161B" w:rsidP="00080F75">
      <w:pPr>
        <w:pStyle w:val="NormalWeb"/>
        <w:spacing w:before="0" w:beforeAutospacing="0" w:after="0" w:afterAutospacing="0"/>
        <w:rPr>
          <w:color w:val="000000" w:themeColor="text1"/>
        </w:rPr>
      </w:pPr>
      <w:hyperlink r:id="rId17" w:history="1">
        <w:r w:rsidR="0072516E" w:rsidRPr="0072516E">
          <w:rPr>
            <w:rStyle w:val="Hyperlink"/>
          </w:rPr>
          <w:t>https://www.cdc.gov/vhf/ebola/healthcare-us/emergency-services/ems-systems.html</w:t>
        </w:r>
      </w:hyperlink>
    </w:p>
    <w:p w14:paraId="45E4E5BD" w14:textId="77777777" w:rsidR="0072516E" w:rsidRDefault="0072516E" w:rsidP="00080F75">
      <w:pPr>
        <w:pStyle w:val="NormalWeb"/>
        <w:spacing w:before="0" w:beforeAutospacing="0" w:after="0" w:afterAutospacing="0"/>
        <w:rPr>
          <w:color w:val="000000" w:themeColor="text1"/>
        </w:rPr>
      </w:pPr>
    </w:p>
    <w:p w14:paraId="794E6464" w14:textId="77777777" w:rsidR="0072516E" w:rsidRDefault="0072516E" w:rsidP="00080F75">
      <w:pPr>
        <w:pStyle w:val="NormalWeb"/>
        <w:spacing w:before="0" w:beforeAutospacing="0" w:after="0" w:afterAutospacing="0"/>
        <w:rPr>
          <w:color w:val="000000" w:themeColor="text1"/>
        </w:rPr>
      </w:pPr>
      <w:r>
        <w:rPr>
          <w:color w:val="000000" w:themeColor="text1"/>
        </w:rPr>
        <w:t xml:space="preserve">Interagency Board - </w:t>
      </w:r>
      <w:r w:rsidRPr="0072516E">
        <w:rPr>
          <w:color w:val="000000" w:themeColor="text1"/>
        </w:rPr>
        <w:t>Recommendations on Selection and Use of Personal Protective Equipment for First Responders against Ebola Exposure Hazards</w:t>
      </w:r>
    </w:p>
    <w:p w14:paraId="4F6E3D46" w14:textId="77777777" w:rsidR="0072516E" w:rsidRDefault="0067161B" w:rsidP="00080F75">
      <w:pPr>
        <w:pStyle w:val="NormalWeb"/>
        <w:spacing w:before="0" w:beforeAutospacing="0" w:after="0" w:afterAutospacing="0"/>
        <w:rPr>
          <w:color w:val="000000" w:themeColor="text1"/>
        </w:rPr>
      </w:pPr>
      <w:hyperlink r:id="rId18" w:history="1">
        <w:r w:rsidR="0072516E" w:rsidRPr="0072516E">
          <w:rPr>
            <w:rStyle w:val="Hyperlink"/>
          </w:rPr>
          <w:t>https://iab.gov/Uploads/IAB%20Ebola%20PPE%20Recommendations_10%2024%2014.pdf</w:t>
        </w:r>
      </w:hyperlink>
    </w:p>
    <w:p w14:paraId="53318477" w14:textId="77777777" w:rsidR="0072516E" w:rsidRDefault="0072516E" w:rsidP="00080F75">
      <w:pPr>
        <w:pStyle w:val="NormalWeb"/>
        <w:spacing w:before="0" w:beforeAutospacing="0" w:after="0" w:afterAutospacing="0"/>
        <w:rPr>
          <w:color w:val="000000" w:themeColor="text1"/>
        </w:rPr>
      </w:pPr>
    </w:p>
    <w:p w14:paraId="2DB3A17F" w14:textId="77777777" w:rsidR="0072516E" w:rsidRPr="00080F75" w:rsidRDefault="0072516E" w:rsidP="00080F75">
      <w:pPr>
        <w:pStyle w:val="NormalWeb"/>
        <w:spacing w:before="0" w:beforeAutospacing="0" w:after="0" w:afterAutospacing="0"/>
        <w:rPr>
          <w:color w:val="000000" w:themeColor="text1"/>
        </w:rPr>
      </w:pPr>
    </w:p>
    <w:p w14:paraId="5F475DED" w14:textId="77777777" w:rsidR="00080F75" w:rsidRPr="00647F96" w:rsidRDefault="00080F75" w:rsidP="00647F96">
      <w:pPr>
        <w:pStyle w:val="NormalWeb"/>
        <w:spacing w:before="0" w:beforeAutospacing="0" w:after="0" w:afterAutospacing="0"/>
        <w:rPr>
          <w:color w:val="000000" w:themeColor="text1"/>
        </w:rPr>
      </w:pPr>
    </w:p>
    <w:p w14:paraId="4FEB304D" w14:textId="77777777" w:rsidR="007E5EBF" w:rsidRPr="00647F96" w:rsidRDefault="007E5EBF" w:rsidP="00647F96">
      <w:pPr>
        <w:pStyle w:val="NormalWeb"/>
        <w:spacing w:before="0" w:beforeAutospacing="0" w:after="0" w:afterAutospacing="0"/>
        <w:rPr>
          <w:color w:val="000000" w:themeColor="text1"/>
        </w:rPr>
      </w:pPr>
    </w:p>
    <w:p w14:paraId="0CA8E6B2" w14:textId="77777777" w:rsidR="007E5EBF" w:rsidRPr="00647F96" w:rsidRDefault="007E5EBF" w:rsidP="00647F96">
      <w:pPr>
        <w:pStyle w:val="NormalWeb"/>
        <w:spacing w:before="0" w:beforeAutospacing="0" w:after="0" w:afterAutospacing="0"/>
        <w:rPr>
          <w:color w:val="000000" w:themeColor="text1"/>
        </w:rPr>
      </w:pPr>
    </w:p>
    <w:p w14:paraId="46A703A5" w14:textId="77777777" w:rsidR="00D41158" w:rsidRPr="00647F96" w:rsidRDefault="00D41158" w:rsidP="00647F96">
      <w:pPr>
        <w:spacing w:after="0" w:line="240" w:lineRule="auto"/>
        <w:rPr>
          <w:rFonts w:ascii="Times New Roman" w:hAnsi="Times New Roman" w:cs="Times New Roman"/>
          <w:sz w:val="24"/>
          <w:szCs w:val="24"/>
        </w:rPr>
      </w:pPr>
    </w:p>
    <w:sectPr w:rsidR="00D41158" w:rsidRPr="00647F96" w:rsidSect="00E758A4">
      <w:headerReference w:type="even" r:id="rId19"/>
      <w:headerReference w:type="default" r:id="rId20"/>
      <w:footerReference w:type="even" r:id="rId21"/>
      <w:footerReference w:type="default" r:id="rId22"/>
      <w:headerReference w:type="first" r:id="rId23"/>
      <w:footerReference w:type="first" r:id="rId24"/>
      <w:pgSz w:w="12240" w:h="15840" w:code="1"/>
      <w:pgMar w:top="270" w:right="1350" w:bottom="502" w:left="153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5DE7C" w14:textId="77777777" w:rsidR="000F2AC2" w:rsidRDefault="000F2AC2" w:rsidP="00100D24">
      <w:pPr>
        <w:spacing w:after="0" w:line="240" w:lineRule="auto"/>
      </w:pPr>
      <w:r>
        <w:separator/>
      </w:r>
    </w:p>
  </w:endnote>
  <w:endnote w:type="continuationSeparator" w:id="0">
    <w:p w14:paraId="25B1AF4B" w14:textId="77777777" w:rsidR="000F2AC2" w:rsidRDefault="000F2AC2" w:rsidP="00100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991B" w14:textId="77777777" w:rsidR="0067161B" w:rsidRDefault="00671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810"/>
      <w:gridCol w:w="1530"/>
      <w:gridCol w:w="763"/>
      <w:gridCol w:w="1394"/>
      <w:gridCol w:w="2523"/>
      <w:gridCol w:w="630"/>
      <w:gridCol w:w="810"/>
    </w:tblGrid>
    <w:tr w:rsidR="00100D24" w:rsidRPr="009D3B49" w14:paraId="1FE647F7" w14:textId="77777777" w:rsidTr="00A444B2">
      <w:tc>
        <w:tcPr>
          <w:tcW w:w="1620" w:type="dxa"/>
          <w:tcBorders>
            <w:top w:val="single" w:sz="4" w:space="0" w:color="auto"/>
            <w:left w:val="single" w:sz="4" w:space="0" w:color="auto"/>
            <w:bottom w:val="single" w:sz="4" w:space="0" w:color="auto"/>
            <w:right w:val="nil"/>
          </w:tcBorders>
          <w:vAlign w:val="center"/>
        </w:tcPr>
        <w:p w14:paraId="0B38B740" w14:textId="77777777" w:rsidR="00100D24" w:rsidRPr="009D3B49" w:rsidRDefault="00100D24" w:rsidP="00100D24">
          <w:pPr>
            <w:pStyle w:val="footertitle"/>
            <w:spacing w:line="240" w:lineRule="auto"/>
            <w:rPr>
              <w:rFonts w:ascii="Calibri" w:hAnsi="Calibri"/>
              <w:szCs w:val="16"/>
            </w:rPr>
          </w:pPr>
          <w:r w:rsidRPr="009D3B49">
            <w:rPr>
              <w:rFonts w:ascii="Calibri" w:hAnsi="Calibri"/>
              <w:szCs w:val="16"/>
            </w:rPr>
            <w:t>ORIGINAL DATE:</w:t>
          </w:r>
        </w:p>
      </w:tc>
      <w:tc>
        <w:tcPr>
          <w:tcW w:w="810" w:type="dxa"/>
          <w:tcBorders>
            <w:top w:val="single" w:sz="4" w:space="0" w:color="auto"/>
            <w:left w:val="nil"/>
            <w:bottom w:val="single" w:sz="4" w:space="0" w:color="auto"/>
            <w:right w:val="single" w:sz="4" w:space="0" w:color="auto"/>
          </w:tcBorders>
          <w:vAlign w:val="center"/>
        </w:tcPr>
        <w:p w14:paraId="19DADC35" w14:textId="77777777" w:rsidR="00100D24" w:rsidRPr="009D3B49" w:rsidRDefault="0072516E" w:rsidP="00100D24">
          <w:pPr>
            <w:pStyle w:val="footerinfo"/>
            <w:spacing w:line="240" w:lineRule="auto"/>
            <w:rPr>
              <w:rFonts w:ascii="Calibri" w:hAnsi="Calibri"/>
              <w:b/>
              <w:sz w:val="16"/>
              <w:szCs w:val="16"/>
            </w:rPr>
          </w:pPr>
          <w:r>
            <w:rPr>
              <w:rFonts w:ascii="Calibri" w:hAnsi="Calibri"/>
              <w:b/>
              <w:sz w:val="16"/>
              <w:szCs w:val="16"/>
            </w:rPr>
            <w:t>5/2017</w:t>
          </w:r>
        </w:p>
      </w:tc>
      <w:tc>
        <w:tcPr>
          <w:tcW w:w="1530" w:type="dxa"/>
          <w:tcBorders>
            <w:top w:val="single" w:sz="4" w:space="0" w:color="auto"/>
            <w:left w:val="single" w:sz="4" w:space="0" w:color="auto"/>
            <w:bottom w:val="single" w:sz="4" w:space="0" w:color="auto"/>
            <w:right w:val="nil"/>
          </w:tcBorders>
          <w:vAlign w:val="center"/>
        </w:tcPr>
        <w:p w14:paraId="7C3E9B71" w14:textId="72D15FD5" w:rsidR="00100D24" w:rsidRPr="009D3B49" w:rsidRDefault="0067161B" w:rsidP="00100D24">
          <w:pPr>
            <w:pStyle w:val="footertitle"/>
            <w:spacing w:line="240" w:lineRule="auto"/>
            <w:rPr>
              <w:rFonts w:ascii="Calibri" w:hAnsi="Calibri"/>
              <w:szCs w:val="16"/>
            </w:rPr>
          </w:pPr>
          <w:r>
            <w:rPr>
              <w:rFonts w:ascii="Calibri" w:hAnsi="Calibri"/>
              <w:szCs w:val="16"/>
            </w:rPr>
            <w:t>Reviewed: June 2021</w:t>
          </w:r>
        </w:p>
      </w:tc>
      <w:tc>
        <w:tcPr>
          <w:tcW w:w="763" w:type="dxa"/>
          <w:tcBorders>
            <w:top w:val="single" w:sz="4" w:space="0" w:color="auto"/>
            <w:left w:val="nil"/>
            <w:bottom w:val="single" w:sz="4" w:space="0" w:color="auto"/>
            <w:right w:val="single" w:sz="4" w:space="0" w:color="auto"/>
          </w:tcBorders>
          <w:vAlign w:val="center"/>
        </w:tcPr>
        <w:p w14:paraId="08DE351E" w14:textId="77777777" w:rsidR="00100D24" w:rsidRPr="009D3B49" w:rsidRDefault="00100D24" w:rsidP="00100D24">
          <w:pPr>
            <w:pStyle w:val="footertitle"/>
            <w:spacing w:line="240" w:lineRule="auto"/>
            <w:rPr>
              <w:rFonts w:ascii="Calibri" w:hAnsi="Calibri"/>
              <w:b/>
              <w:szCs w:val="16"/>
            </w:rPr>
          </w:pPr>
        </w:p>
      </w:tc>
      <w:tc>
        <w:tcPr>
          <w:tcW w:w="1394" w:type="dxa"/>
          <w:tcBorders>
            <w:top w:val="single" w:sz="4" w:space="0" w:color="auto"/>
            <w:left w:val="single" w:sz="4" w:space="0" w:color="auto"/>
            <w:bottom w:val="single" w:sz="4" w:space="0" w:color="auto"/>
            <w:right w:val="nil"/>
          </w:tcBorders>
          <w:vAlign w:val="center"/>
        </w:tcPr>
        <w:p w14:paraId="4FA86523" w14:textId="77777777" w:rsidR="00100D24" w:rsidRPr="009D3B49" w:rsidRDefault="00100D24" w:rsidP="00100D24">
          <w:pPr>
            <w:pStyle w:val="footertitle"/>
            <w:spacing w:line="240" w:lineRule="auto"/>
            <w:rPr>
              <w:rFonts w:ascii="Calibri" w:hAnsi="Calibri"/>
              <w:b/>
              <w:szCs w:val="16"/>
            </w:rPr>
          </w:pPr>
          <w:r w:rsidRPr="009D3B49">
            <w:rPr>
              <w:rFonts w:ascii="Calibri" w:hAnsi="Calibri"/>
              <w:szCs w:val="16"/>
            </w:rPr>
            <w:t>ASSIGNED TO:</w:t>
          </w:r>
        </w:p>
      </w:tc>
      <w:tc>
        <w:tcPr>
          <w:tcW w:w="2523" w:type="dxa"/>
          <w:tcBorders>
            <w:top w:val="single" w:sz="4" w:space="0" w:color="auto"/>
            <w:left w:val="nil"/>
            <w:bottom w:val="single" w:sz="4" w:space="0" w:color="auto"/>
            <w:right w:val="single" w:sz="4" w:space="0" w:color="auto"/>
          </w:tcBorders>
          <w:vAlign w:val="center"/>
        </w:tcPr>
        <w:p w14:paraId="0A3CD41F" w14:textId="77777777" w:rsidR="00100D24" w:rsidRPr="009D3B49" w:rsidRDefault="00100D24" w:rsidP="00100D24">
          <w:pPr>
            <w:pStyle w:val="footertitle"/>
            <w:spacing w:line="240" w:lineRule="auto"/>
            <w:rPr>
              <w:rFonts w:ascii="Calibri" w:hAnsi="Calibri"/>
              <w:szCs w:val="16"/>
            </w:rPr>
          </w:pPr>
        </w:p>
      </w:tc>
      <w:tc>
        <w:tcPr>
          <w:tcW w:w="630" w:type="dxa"/>
          <w:tcBorders>
            <w:top w:val="single" w:sz="4" w:space="0" w:color="auto"/>
            <w:left w:val="single" w:sz="4" w:space="0" w:color="auto"/>
            <w:bottom w:val="single" w:sz="4" w:space="0" w:color="auto"/>
            <w:right w:val="nil"/>
          </w:tcBorders>
          <w:vAlign w:val="center"/>
        </w:tcPr>
        <w:p w14:paraId="5AA26C06" w14:textId="77777777" w:rsidR="00100D24" w:rsidRPr="009D3B49" w:rsidRDefault="00100D24" w:rsidP="00100D24">
          <w:pPr>
            <w:pStyle w:val="footerinfo"/>
            <w:spacing w:line="240" w:lineRule="auto"/>
            <w:jc w:val="center"/>
            <w:rPr>
              <w:rFonts w:ascii="Calibri" w:hAnsi="Calibri"/>
              <w:sz w:val="16"/>
              <w:szCs w:val="16"/>
            </w:rPr>
          </w:pPr>
          <w:r w:rsidRPr="009D3B49">
            <w:rPr>
              <w:rFonts w:ascii="Calibri" w:hAnsi="Calibri"/>
              <w:sz w:val="16"/>
              <w:szCs w:val="16"/>
            </w:rPr>
            <w:t>Page</w:t>
          </w:r>
          <w:r w:rsidR="00A444B2">
            <w:rPr>
              <w:rFonts w:ascii="Calibri" w:hAnsi="Calibri"/>
              <w:sz w:val="16"/>
              <w:szCs w:val="16"/>
            </w:rPr>
            <w:t>:</w:t>
          </w:r>
        </w:p>
      </w:tc>
      <w:tc>
        <w:tcPr>
          <w:tcW w:w="810" w:type="dxa"/>
          <w:tcBorders>
            <w:top w:val="single" w:sz="4" w:space="0" w:color="auto"/>
            <w:left w:val="nil"/>
            <w:bottom w:val="single" w:sz="4" w:space="0" w:color="auto"/>
            <w:right w:val="single" w:sz="4" w:space="0" w:color="auto"/>
          </w:tcBorders>
          <w:vAlign w:val="center"/>
        </w:tcPr>
        <w:p w14:paraId="2416F5F4" w14:textId="77777777" w:rsidR="00100D24" w:rsidRPr="009D3B49" w:rsidRDefault="00A444B2" w:rsidP="00100D24">
          <w:pPr>
            <w:pStyle w:val="footerinfo"/>
            <w:spacing w:line="240" w:lineRule="auto"/>
            <w:rPr>
              <w:rFonts w:ascii="Calibri" w:hAnsi="Calibri"/>
              <w:sz w:val="16"/>
              <w:szCs w:val="16"/>
            </w:rPr>
          </w:pPr>
          <w:r>
            <w:rPr>
              <w:rFonts w:ascii="Calibri" w:hAnsi="Calibri"/>
              <w:sz w:val="16"/>
              <w:szCs w:val="16"/>
            </w:rPr>
            <w:t xml:space="preserve">App C - </w:t>
          </w:r>
          <w:r w:rsidR="00100D24" w:rsidRPr="009D3B49">
            <w:rPr>
              <w:rFonts w:ascii="Calibri" w:hAnsi="Calibri"/>
              <w:sz w:val="16"/>
              <w:szCs w:val="16"/>
            </w:rPr>
            <w:fldChar w:fldCharType="begin"/>
          </w:r>
          <w:r w:rsidR="00100D24" w:rsidRPr="009D3B49">
            <w:rPr>
              <w:rFonts w:ascii="Calibri" w:hAnsi="Calibri"/>
              <w:sz w:val="16"/>
              <w:szCs w:val="16"/>
            </w:rPr>
            <w:instrText xml:space="preserve"> PAGE   \* MERGEFORMAT </w:instrText>
          </w:r>
          <w:r w:rsidR="00100D24" w:rsidRPr="009D3B49">
            <w:rPr>
              <w:rFonts w:ascii="Calibri" w:hAnsi="Calibri"/>
              <w:sz w:val="16"/>
              <w:szCs w:val="16"/>
            </w:rPr>
            <w:fldChar w:fldCharType="separate"/>
          </w:r>
          <w:r w:rsidR="00564EFC">
            <w:rPr>
              <w:rFonts w:ascii="Calibri" w:hAnsi="Calibri"/>
              <w:noProof/>
              <w:sz w:val="16"/>
              <w:szCs w:val="16"/>
            </w:rPr>
            <w:t>9</w:t>
          </w:r>
          <w:r w:rsidR="00100D24" w:rsidRPr="009D3B49">
            <w:rPr>
              <w:rFonts w:ascii="Calibri" w:hAnsi="Calibri"/>
              <w:noProof/>
              <w:sz w:val="16"/>
              <w:szCs w:val="16"/>
            </w:rPr>
            <w:fldChar w:fldCharType="end"/>
          </w:r>
        </w:p>
      </w:tc>
    </w:tr>
  </w:tbl>
  <w:p w14:paraId="60639CA7" w14:textId="77777777" w:rsidR="00100D24" w:rsidRDefault="00100D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20BB" w14:textId="77777777" w:rsidR="0067161B" w:rsidRDefault="00671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3A7A3" w14:textId="77777777" w:rsidR="000F2AC2" w:rsidRDefault="000F2AC2" w:rsidP="00100D24">
      <w:pPr>
        <w:spacing w:after="0" w:line="240" w:lineRule="auto"/>
      </w:pPr>
      <w:r>
        <w:separator/>
      </w:r>
    </w:p>
  </w:footnote>
  <w:footnote w:type="continuationSeparator" w:id="0">
    <w:p w14:paraId="4BB5EC7F" w14:textId="77777777" w:rsidR="000F2AC2" w:rsidRDefault="000F2AC2" w:rsidP="00100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CB88" w14:textId="77777777" w:rsidR="0067161B" w:rsidRDefault="00671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38B2" w14:textId="77777777" w:rsidR="00100D24" w:rsidRPr="009D3B49" w:rsidRDefault="00100D24" w:rsidP="00100D24">
    <w:pPr>
      <w:pStyle w:val="MedCtr"/>
      <w:tabs>
        <w:tab w:val="left" w:pos="7853"/>
      </w:tabs>
      <w:spacing w:line="360" w:lineRule="exact"/>
      <w:rPr>
        <w:rFonts w:ascii="Calibri" w:hAnsi="Calibri"/>
      </w:rPr>
    </w:pPr>
    <w:r w:rsidRPr="009D3B49">
      <w:rPr>
        <w:rFonts w:ascii="Calibri" w:hAnsi="Calibri"/>
      </w:rPr>
      <w:t>CENTRAL MINNESOTA</w:t>
    </w:r>
    <w:r w:rsidR="00E20CC6">
      <w:rPr>
        <w:rFonts w:ascii="Calibri" w:hAnsi="Calibri"/>
      </w:rPr>
      <w:t xml:space="preserve"> H</w:t>
    </w:r>
    <w:r>
      <w:rPr>
        <w:rFonts w:ascii="Calibri" w:hAnsi="Calibri"/>
      </w:rPr>
      <w:t>P</w:t>
    </w:r>
    <w:r w:rsidR="00E20CC6">
      <w:rPr>
        <w:rFonts w:ascii="Calibri" w:hAnsi="Calibri"/>
      </w:rPr>
      <w:t>C</w:t>
    </w:r>
    <w:r w:rsidRPr="009D3B49">
      <w:rPr>
        <w:rFonts w:ascii="Calibri" w:hAnsi="Calibri"/>
      </w:rPr>
      <w:tab/>
    </w:r>
    <w:r>
      <w:rPr>
        <w:rFonts w:ascii="Calibri" w:hAnsi="Calibri"/>
      </w:rPr>
      <w:tab/>
    </w:r>
  </w:p>
  <w:tbl>
    <w:tblPr>
      <w:tblW w:w="10080" w:type="dxa"/>
      <w:tblInd w:w="124" w:type="dxa"/>
      <w:tblLayout w:type="fixed"/>
      <w:tblCellMar>
        <w:left w:w="124" w:type="dxa"/>
        <w:right w:w="124" w:type="dxa"/>
      </w:tblCellMar>
      <w:tblLook w:val="0000" w:firstRow="0" w:lastRow="0" w:firstColumn="0" w:lastColumn="0" w:noHBand="0" w:noVBand="0"/>
    </w:tblPr>
    <w:tblGrid>
      <w:gridCol w:w="1080"/>
      <w:gridCol w:w="3060"/>
      <w:gridCol w:w="1008"/>
      <w:gridCol w:w="4932"/>
    </w:tblGrid>
    <w:tr w:rsidR="00100D24" w:rsidRPr="009D3B49" w14:paraId="50328047" w14:textId="77777777" w:rsidTr="00CC66F6">
      <w:trPr>
        <w:cantSplit/>
      </w:trPr>
      <w:tc>
        <w:tcPr>
          <w:tcW w:w="1080" w:type="dxa"/>
          <w:tcBorders>
            <w:top w:val="single" w:sz="6" w:space="0" w:color="000000"/>
            <w:left w:val="nil"/>
            <w:bottom w:val="nil"/>
            <w:right w:val="nil"/>
          </w:tcBorders>
        </w:tcPr>
        <w:p w14:paraId="5F17EC5D" w14:textId="77777777" w:rsidR="00100D24" w:rsidRPr="009D3B49" w:rsidRDefault="00100D24" w:rsidP="00100D24">
          <w:pPr>
            <w:pStyle w:val="subject"/>
            <w:spacing w:line="280" w:lineRule="exact"/>
            <w:rPr>
              <w:rFonts w:ascii="Calibri" w:hAnsi="Calibri"/>
            </w:rPr>
          </w:pPr>
          <w:r w:rsidRPr="009D3B49">
            <w:rPr>
              <w:rFonts w:ascii="Calibri" w:hAnsi="Calibri"/>
            </w:rPr>
            <w:t>DOCUMENT:</w:t>
          </w:r>
        </w:p>
      </w:tc>
      <w:tc>
        <w:tcPr>
          <w:tcW w:w="3060" w:type="dxa"/>
          <w:vMerge w:val="restart"/>
          <w:tcBorders>
            <w:top w:val="single" w:sz="6" w:space="0" w:color="000000"/>
            <w:left w:val="nil"/>
            <w:bottom w:val="double" w:sz="6" w:space="0" w:color="auto"/>
            <w:right w:val="single" w:sz="6" w:space="0" w:color="000000"/>
          </w:tcBorders>
        </w:tcPr>
        <w:p w14:paraId="33D3949C" w14:textId="77777777" w:rsidR="00100D24" w:rsidRPr="009D3B49" w:rsidRDefault="003000E3" w:rsidP="00100D24">
          <w:pPr>
            <w:pStyle w:val="subjecttext"/>
            <w:spacing w:line="280" w:lineRule="exact"/>
            <w:rPr>
              <w:rFonts w:ascii="Calibri" w:hAnsi="Calibri"/>
            </w:rPr>
          </w:pPr>
          <w:r>
            <w:rPr>
              <w:rFonts w:ascii="Calibri" w:hAnsi="Calibri"/>
            </w:rPr>
            <w:t xml:space="preserve">CMHPC </w:t>
          </w:r>
          <w:r w:rsidR="00CB6384">
            <w:rPr>
              <w:rFonts w:ascii="Calibri" w:hAnsi="Calibri"/>
            </w:rPr>
            <w:t xml:space="preserve">Handling of Solid Waste Contaminated with a Category </w:t>
          </w:r>
          <w:proofErr w:type="gramStart"/>
          <w:r w:rsidR="00CB6384">
            <w:rPr>
              <w:rFonts w:ascii="Calibri" w:hAnsi="Calibri"/>
            </w:rPr>
            <w:t>A</w:t>
          </w:r>
          <w:proofErr w:type="gramEnd"/>
          <w:r w:rsidR="00CB6384">
            <w:rPr>
              <w:rFonts w:ascii="Calibri" w:hAnsi="Calibri"/>
            </w:rPr>
            <w:t xml:space="preserve"> Infectious Substance</w:t>
          </w:r>
        </w:p>
      </w:tc>
      <w:tc>
        <w:tcPr>
          <w:tcW w:w="1008" w:type="dxa"/>
          <w:tcBorders>
            <w:top w:val="single" w:sz="6" w:space="0" w:color="000000"/>
            <w:left w:val="nil"/>
            <w:bottom w:val="single" w:sz="6" w:space="0" w:color="000000"/>
            <w:right w:val="nil"/>
          </w:tcBorders>
        </w:tcPr>
        <w:p w14:paraId="56F902EE" w14:textId="77777777" w:rsidR="00100D24" w:rsidRPr="009D3B49" w:rsidRDefault="00100D24" w:rsidP="00100D24">
          <w:pPr>
            <w:pStyle w:val="manual"/>
            <w:spacing w:line="280" w:lineRule="exact"/>
            <w:rPr>
              <w:rFonts w:ascii="Calibri" w:hAnsi="Calibri"/>
            </w:rPr>
          </w:pPr>
          <w:r w:rsidRPr="009D3B49">
            <w:rPr>
              <w:rFonts w:ascii="Calibri" w:hAnsi="Calibri"/>
            </w:rPr>
            <w:t>MANUAL:</w:t>
          </w:r>
        </w:p>
      </w:tc>
      <w:tc>
        <w:tcPr>
          <w:tcW w:w="4932" w:type="dxa"/>
          <w:tcBorders>
            <w:top w:val="single" w:sz="6" w:space="0" w:color="000000"/>
            <w:left w:val="nil"/>
            <w:bottom w:val="single" w:sz="6" w:space="0" w:color="000000"/>
            <w:right w:val="nil"/>
          </w:tcBorders>
          <w:vAlign w:val="center"/>
        </w:tcPr>
        <w:p w14:paraId="29F251A2" w14:textId="77777777" w:rsidR="00100D24" w:rsidRPr="009D3B49" w:rsidRDefault="00100D24" w:rsidP="00100D24">
          <w:pPr>
            <w:pStyle w:val="manualname"/>
            <w:rPr>
              <w:rFonts w:ascii="Calibri" w:hAnsi="Calibri"/>
              <w:spacing w:val="-2"/>
            </w:rPr>
          </w:pPr>
          <w:r w:rsidRPr="009D3B49">
            <w:rPr>
              <w:rFonts w:ascii="Calibri" w:hAnsi="Calibri"/>
              <w:spacing w:val="-2"/>
            </w:rPr>
            <w:t>All Hazards Plan</w:t>
          </w:r>
        </w:p>
      </w:tc>
    </w:tr>
    <w:tr w:rsidR="00100D24" w:rsidRPr="009D3B49" w14:paraId="5C04559D" w14:textId="77777777" w:rsidTr="00CC66F6">
      <w:trPr>
        <w:cantSplit/>
      </w:trPr>
      <w:tc>
        <w:tcPr>
          <w:tcW w:w="1080" w:type="dxa"/>
        </w:tcPr>
        <w:p w14:paraId="3C70081F" w14:textId="77777777" w:rsidR="00100D24" w:rsidRPr="009D3B49" w:rsidRDefault="00100D24" w:rsidP="00100D24">
          <w:pPr>
            <w:pStyle w:val="header8"/>
            <w:rPr>
              <w:rFonts w:ascii="Calibri" w:hAnsi="Calibri"/>
            </w:rPr>
          </w:pPr>
        </w:p>
      </w:tc>
      <w:tc>
        <w:tcPr>
          <w:tcW w:w="3060" w:type="dxa"/>
          <w:vMerge/>
          <w:tcBorders>
            <w:top w:val="single" w:sz="6" w:space="0" w:color="000000"/>
            <w:left w:val="nil"/>
            <w:bottom w:val="double" w:sz="6" w:space="0" w:color="auto"/>
            <w:right w:val="single" w:sz="6" w:space="0" w:color="000000"/>
          </w:tcBorders>
          <w:vAlign w:val="center"/>
        </w:tcPr>
        <w:p w14:paraId="30F46F6B" w14:textId="77777777" w:rsidR="00100D24" w:rsidRPr="009D3B49" w:rsidRDefault="00100D24" w:rsidP="00100D24">
          <w:pPr>
            <w:rPr>
              <w:rFonts w:ascii="Calibri" w:hAnsi="Calibri"/>
            </w:rPr>
          </w:pPr>
        </w:p>
      </w:tc>
      <w:tc>
        <w:tcPr>
          <w:tcW w:w="1008" w:type="dxa"/>
        </w:tcPr>
        <w:p w14:paraId="2C6333C3" w14:textId="77777777" w:rsidR="00100D24" w:rsidRPr="009D3B49" w:rsidRDefault="00100D24" w:rsidP="00100D24">
          <w:pPr>
            <w:pStyle w:val="section"/>
            <w:spacing w:line="280" w:lineRule="exact"/>
            <w:rPr>
              <w:rFonts w:ascii="Calibri" w:hAnsi="Calibri"/>
            </w:rPr>
          </w:pPr>
          <w:r w:rsidRPr="009D3B49">
            <w:rPr>
              <w:rFonts w:ascii="Calibri" w:hAnsi="Calibri"/>
            </w:rPr>
            <w:t>SECTION:</w:t>
          </w:r>
        </w:p>
      </w:tc>
      <w:tc>
        <w:tcPr>
          <w:tcW w:w="4932" w:type="dxa"/>
          <w:vAlign w:val="center"/>
        </w:tcPr>
        <w:p w14:paraId="74C59C26" w14:textId="77777777" w:rsidR="006355B6" w:rsidRPr="009D3B49" w:rsidRDefault="006355B6" w:rsidP="00100D24">
          <w:pPr>
            <w:pStyle w:val="chapter1"/>
            <w:spacing w:line="280" w:lineRule="exact"/>
            <w:rPr>
              <w:rFonts w:ascii="Calibri" w:hAnsi="Calibri"/>
            </w:rPr>
          </w:pPr>
          <w:r>
            <w:rPr>
              <w:rFonts w:ascii="Calibri" w:hAnsi="Calibri"/>
            </w:rPr>
            <w:t>All Hazards Plan Introduction</w:t>
          </w:r>
        </w:p>
      </w:tc>
    </w:tr>
    <w:tr w:rsidR="00100D24" w:rsidRPr="009D3B49" w14:paraId="03B006B5" w14:textId="77777777" w:rsidTr="00CC66F6">
      <w:trPr>
        <w:cantSplit/>
      </w:trPr>
      <w:tc>
        <w:tcPr>
          <w:tcW w:w="1080" w:type="dxa"/>
          <w:tcBorders>
            <w:top w:val="nil"/>
            <w:left w:val="nil"/>
            <w:bottom w:val="double" w:sz="6" w:space="0" w:color="auto"/>
            <w:right w:val="nil"/>
          </w:tcBorders>
        </w:tcPr>
        <w:p w14:paraId="2D5552F6" w14:textId="77777777" w:rsidR="00100D24" w:rsidRPr="009D3B49" w:rsidRDefault="00100D24" w:rsidP="00100D24">
          <w:pPr>
            <w:pStyle w:val="header8"/>
            <w:rPr>
              <w:rFonts w:ascii="Calibri" w:hAnsi="Calibri"/>
            </w:rPr>
          </w:pPr>
        </w:p>
      </w:tc>
      <w:tc>
        <w:tcPr>
          <w:tcW w:w="3060" w:type="dxa"/>
          <w:vMerge/>
          <w:tcBorders>
            <w:top w:val="single" w:sz="6" w:space="0" w:color="000000"/>
            <w:left w:val="nil"/>
            <w:bottom w:val="double" w:sz="6" w:space="0" w:color="auto"/>
            <w:right w:val="single" w:sz="6" w:space="0" w:color="000000"/>
          </w:tcBorders>
          <w:vAlign w:val="center"/>
        </w:tcPr>
        <w:p w14:paraId="3D5C6290" w14:textId="77777777" w:rsidR="00100D24" w:rsidRPr="009D3B49" w:rsidRDefault="00100D24" w:rsidP="00100D24">
          <w:pPr>
            <w:rPr>
              <w:rFonts w:ascii="Calibri" w:hAnsi="Calibri"/>
            </w:rPr>
          </w:pPr>
        </w:p>
      </w:tc>
      <w:tc>
        <w:tcPr>
          <w:tcW w:w="1008" w:type="dxa"/>
          <w:tcBorders>
            <w:top w:val="nil"/>
            <w:left w:val="single" w:sz="6" w:space="0" w:color="000000"/>
            <w:bottom w:val="double" w:sz="6" w:space="0" w:color="auto"/>
            <w:right w:val="nil"/>
          </w:tcBorders>
        </w:tcPr>
        <w:p w14:paraId="1C3DF4D3" w14:textId="77777777" w:rsidR="00100D24" w:rsidRPr="009D3B49" w:rsidRDefault="00100D24" w:rsidP="00100D24">
          <w:pPr>
            <w:pStyle w:val="footer8"/>
            <w:rPr>
              <w:rFonts w:ascii="Calibri" w:hAnsi="Calibri"/>
              <w:vertAlign w:val="superscript"/>
            </w:rPr>
          </w:pPr>
        </w:p>
      </w:tc>
      <w:tc>
        <w:tcPr>
          <w:tcW w:w="4932" w:type="dxa"/>
          <w:tcBorders>
            <w:top w:val="nil"/>
            <w:left w:val="nil"/>
            <w:bottom w:val="double" w:sz="6" w:space="0" w:color="auto"/>
            <w:right w:val="nil"/>
          </w:tcBorders>
          <w:vAlign w:val="center"/>
        </w:tcPr>
        <w:p w14:paraId="0FE5F336" w14:textId="77777777" w:rsidR="00100D24" w:rsidRPr="009D3B49" w:rsidRDefault="002B5F03" w:rsidP="00100D24">
          <w:pPr>
            <w:pStyle w:val="chapter2"/>
            <w:rPr>
              <w:rFonts w:ascii="Calibri" w:hAnsi="Calibri"/>
            </w:rPr>
          </w:pPr>
          <w:r>
            <w:rPr>
              <w:rFonts w:ascii="Calibri" w:hAnsi="Calibri"/>
            </w:rPr>
            <w:t>Appendix I</w:t>
          </w:r>
        </w:p>
      </w:tc>
    </w:tr>
  </w:tbl>
  <w:p w14:paraId="12FE080D" w14:textId="77777777" w:rsidR="00100D24" w:rsidRDefault="00100D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4B5D" w14:textId="77777777" w:rsidR="0067161B" w:rsidRDefault="00671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0510"/>
    <w:multiLevelType w:val="hybridMultilevel"/>
    <w:tmpl w:val="4140AEF4"/>
    <w:lvl w:ilvl="0" w:tplc="E1A2C79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8A7ABC"/>
    <w:multiLevelType w:val="hybridMultilevel"/>
    <w:tmpl w:val="C68EA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5A5739"/>
    <w:multiLevelType w:val="hybridMultilevel"/>
    <w:tmpl w:val="F5844FA4"/>
    <w:lvl w:ilvl="0" w:tplc="E064F4EE">
      <w:start w:val="1"/>
      <w:numFmt w:val="bullet"/>
      <w:lvlText w:val=""/>
      <w:lvlJc w:val="left"/>
      <w:pPr>
        <w:ind w:left="1080" w:hanging="360"/>
      </w:pPr>
      <w:rPr>
        <w:rFonts w:ascii="Symbol" w:hAnsi="Symbol" w:hint="default"/>
        <w:color w:val="4BACC6" w:themeColor="accent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CD6539"/>
    <w:multiLevelType w:val="hybridMultilevel"/>
    <w:tmpl w:val="F39665BA"/>
    <w:lvl w:ilvl="0" w:tplc="ED92908E">
      <w:numFmt w:val="bullet"/>
      <w:lvlText w:val="•"/>
      <w:lvlJc w:val="left"/>
      <w:pPr>
        <w:ind w:left="1080" w:hanging="360"/>
      </w:pPr>
      <w:rPr>
        <w:rFonts w:ascii="Times New Roman" w:eastAsiaTheme="minorHAns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ED34E5"/>
    <w:multiLevelType w:val="hybridMultilevel"/>
    <w:tmpl w:val="1CEA7CA6"/>
    <w:lvl w:ilvl="0" w:tplc="E1A2C79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9A72B0"/>
    <w:multiLevelType w:val="hybridMultilevel"/>
    <w:tmpl w:val="7E26EF32"/>
    <w:lvl w:ilvl="0" w:tplc="F3103CA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4A1013"/>
    <w:multiLevelType w:val="hybridMultilevel"/>
    <w:tmpl w:val="B3461194"/>
    <w:lvl w:ilvl="0" w:tplc="E064F4EE">
      <w:start w:val="1"/>
      <w:numFmt w:val="bullet"/>
      <w:lvlText w:val=""/>
      <w:lvlJc w:val="left"/>
      <w:pPr>
        <w:ind w:left="720" w:hanging="360"/>
      </w:pPr>
      <w:rPr>
        <w:rFonts w:ascii="Symbol" w:hAnsi="Symbol" w:hint="default"/>
        <w:color w:val="4BACC6"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C4FC8"/>
    <w:multiLevelType w:val="hybridMultilevel"/>
    <w:tmpl w:val="259054A4"/>
    <w:lvl w:ilvl="0" w:tplc="E1A2C79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451E9A"/>
    <w:multiLevelType w:val="hybridMultilevel"/>
    <w:tmpl w:val="84949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C77B4F"/>
    <w:multiLevelType w:val="hybridMultilevel"/>
    <w:tmpl w:val="CA06C778"/>
    <w:lvl w:ilvl="0" w:tplc="E1A2C7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D16E3"/>
    <w:multiLevelType w:val="multilevel"/>
    <w:tmpl w:val="7764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AE0B67"/>
    <w:multiLevelType w:val="hybridMultilevel"/>
    <w:tmpl w:val="0468662E"/>
    <w:lvl w:ilvl="0" w:tplc="92AEC87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FE2AA3"/>
    <w:multiLevelType w:val="hybridMultilevel"/>
    <w:tmpl w:val="4AB09106"/>
    <w:lvl w:ilvl="0" w:tplc="E1A2C79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927AFC"/>
    <w:multiLevelType w:val="multilevel"/>
    <w:tmpl w:val="BE0E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CD5458"/>
    <w:multiLevelType w:val="hybridMultilevel"/>
    <w:tmpl w:val="FB78B038"/>
    <w:lvl w:ilvl="0" w:tplc="E1A2C79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2"/>
  </w:num>
  <w:num w:numId="3">
    <w:abstractNumId w:val="11"/>
  </w:num>
  <w:num w:numId="4">
    <w:abstractNumId w:val="13"/>
  </w:num>
  <w:num w:numId="5">
    <w:abstractNumId w:val="8"/>
  </w:num>
  <w:num w:numId="6">
    <w:abstractNumId w:val="0"/>
  </w:num>
  <w:num w:numId="7">
    <w:abstractNumId w:val="1"/>
  </w:num>
  <w:num w:numId="8">
    <w:abstractNumId w:val="12"/>
  </w:num>
  <w:num w:numId="9">
    <w:abstractNumId w:val="7"/>
  </w:num>
  <w:num w:numId="10">
    <w:abstractNumId w:val="4"/>
  </w:num>
  <w:num w:numId="11">
    <w:abstractNumId w:val="14"/>
  </w:num>
  <w:num w:numId="12">
    <w:abstractNumId w:val="9"/>
  </w:num>
  <w:num w:numId="13">
    <w:abstractNumId w:val="3"/>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B2D"/>
    <w:rsid w:val="0004776F"/>
    <w:rsid w:val="00080F75"/>
    <w:rsid w:val="000F2AC2"/>
    <w:rsid w:val="00100D24"/>
    <w:rsid w:val="00107762"/>
    <w:rsid w:val="00174C8F"/>
    <w:rsid w:val="002B5F03"/>
    <w:rsid w:val="003000E3"/>
    <w:rsid w:val="003152C4"/>
    <w:rsid w:val="00333741"/>
    <w:rsid w:val="00414240"/>
    <w:rsid w:val="004E7382"/>
    <w:rsid w:val="00564EFC"/>
    <w:rsid w:val="005767CB"/>
    <w:rsid w:val="005E5039"/>
    <w:rsid w:val="00620BFA"/>
    <w:rsid w:val="006355B6"/>
    <w:rsid w:val="006421E4"/>
    <w:rsid w:val="00647F96"/>
    <w:rsid w:val="0067161B"/>
    <w:rsid w:val="0072516E"/>
    <w:rsid w:val="00731C65"/>
    <w:rsid w:val="007C0F4A"/>
    <w:rsid w:val="007E0878"/>
    <w:rsid w:val="007E5EBF"/>
    <w:rsid w:val="007F27FE"/>
    <w:rsid w:val="008D780D"/>
    <w:rsid w:val="0091244F"/>
    <w:rsid w:val="00915E46"/>
    <w:rsid w:val="00930EEA"/>
    <w:rsid w:val="00987E8F"/>
    <w:rsid w:val="00A40A78"/>
    <w:rsid w:val="00A444B2"/>
    <w:rsid w:val="00A569F9"/>
    <w:rsid w:val="00A93FD1"/>
    <w:rsid w:val="00B32B77"/>
    <w:rsid w:val="00B97701"/>
    <w:rsid w:val="00C72ACF"/>
    <w:rsid w:val="00CB6384"/>
    <w:rsid w:val="00D41158"/>
    <w:rsid w:val="00E20CC6"/>
    <w:rsid w:val="00E63F62"/>
    <w:rsid w:val="00E758A4"/>
    <w:rsid w:val="00F369F8"/>
    <w:rsid w:val="00F667A1"/>
    <w:rsid w:val="00F84B2D"/>
    <w:rsid w:val="00FB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DDE839"/>
  <w15:docId w15:val="{302CAD0C-AE0A-4086-97DB-E5F1D698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4B2D"/>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nhideWhenUsed/>
    <w:rsid w:val="00100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D24"/>
  </w:style>
  <w:style w:type="paragraph" w:styleId="Footer">
    <w:name w:val="footer"/>
    <w:basedOn w:val="Normal"/>
    <w:link w:val="FooterChar"/>
    <w:uiPriority w:val="99"/>
    <w:unhideWhenUsed/>
    <w:rsid w:val="00100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D24"/>
  </w:style>
  <w:style w:type="paragraph" w:customStyle="1" w:styleId="footer8">
    <w:name w:val="footer 8"/>
    <w:basedOn w:val="Normal"/>
    <w:rsid w:val="00100D24"/>
    <w:pPr>
      <w:spacing w:before="100" w:after="100" w:line="260" w:lineRule="exact"/>
    </w:pPr>
    <w:rPr>
      <w:rFonts w:ascii="Times New Roman" w:eastAsia="Times New Roman" w:hAnsi="Times New Roman" w:cs="Times New Roman"/>
      <w:sz w:val="16"/>
      <w:szCs w:val="20"/>
    </w:rPr>
  </w:style>
  <w:style w:type="paragraph" w:customStyle="1" w:styleId="MedCtr">
    <w:name w:val="MedCtr"/>
    <w:basedOn w:val="Normal"/>
    <w:rsid w:val="00100D24"/>
    <w:pPr>
      <w:widowControl w:val="0"/>
      <w:tabs>
        <w:tab w:val="right" w:pos="10080"/>
      </w:tabs>
      <w:spacing w:after="20" w:line="360" w:lineRule="atLeast"/>
    </w:pPr>
    <w:rPr>
      <w:rFonts w:ascii="Times New Roman" w:eastAsia="Times New Roman" w:hAnsi="Times New Roman" w:cs="Times New Roman"/>
      <w:b/>
      <w:sz w:val="36"/>
      <w:szCs w:val="20"/>
    </w:rPr>
  </w:style>
  <w:style w:type="paragraph" w:customStyle="1" w:styleId="subject">
    <w:name w:val="subject"/>
    <w:basedOn w:val="Normal"/>
    <w:rsid w:val="00100D24"/>
    <w:pPr>
      <w:widowControl w:val="0"/>
      <w:tabs>
        <w:tab w:val="left" w:pos="866"/>
      </w:tabs>
      <w:spacing w:before="100" w:after="80" w:line="280" w:lineRule="atLeast"/>
      <w:ind w:left="-101"/>
    </w:pPr>
    <w:rPr>
      <w:rFonts w:ascii="Times New Roman" w:eastAsia="Times New Roman" w:hAnsi="Times New Roman" w:cs="Times New Roman"/>
      <w:sz w:val="16"/>
      <w:szCs w:val="20"/>
    </w:rPr>
  </w:style>
  <w:style w:type="paragraph" w:customStyle="1" w:styleId="manual">
    <w:name w:val="manual"/>
    <w:basedOn w:val="Normal"/>
    <w:rsid w:val="00100D24"/>
    <w:pPr>
      <w:widowControl w:val="0"/>
      <w:spacing w:before="100" w:after="120" w:line="280" w:lineRule="atLeast"/>
    </w:pPr>
    <w:rPr>
      <w:rFonts w:ascii="Times New Roman" w:eastAsia="Times New Roman" w:hAnsi="Times New Roman" w:cs="Times New Roman"/>
      <w:sz w:val="16"/>
      <w:szCs w:val="20"/>
    </w:rPr>
  </w:style>
  <w:style w:type="paragraph" w:customStyle="1" w:styleId="section">
    <w:name w:val="section"/>
    <w:basedOn w:val="Normal"/>
    <w:rsid w:val="00100D24"/>
    <w:pPr>
      <w:widowControl w:val="0"/>
      <w:spacing w:before="80" w:after="0" w:line="280" w:lineRule="atLeast"/>
    </w:pPr>
    <w:rPr>
      <w:rFonts w:ascii="Times New Roman" w:eastAsia="Times New Roman" w:hAnsi="Times New Roman" w:cs="Times New Roman"/>
      <w:sz w:val="16"/>
      <w:szCs w:val="20"/>
    </w:rPr>
  </w:style>
  <w:style w:type="paragraph" w:customStyle="1" w:styleId="subjecttext">
    <w:name w:val="subject text"/>
    <w:basedOn w:val="Normal"/>
    <w:rsid w:val="00100D24"/>
    <w:pPr>
      <w:widowControl w:val="0"/>
      <w:tabs>
        <w:tab w:val="left" w:pos="866"/>
      </w:tabs>
      <w:spacing w:before="120" w:after="80" w:line="280" w:lineRule="atLeast"/>
      <w:ind w:left="-43"/>
    </w:pPr>
    <w:rPr>
      <w:rFonts w:ascii="Times New Roman" w:eastAsia="Times New Roman" w:hAnsi="Times New Roman" w:cs="Times New Roman"/>
      <w:sz w:val="24"/>
      <w:szCs w:val="20"/>
    </w:rPr>
  </w:style>
  <w:style w:type="paragraph" w:customStyle="1" w:styleId="chapter2">
    <w:name w:val="chapter2"/>
    <w:basedOn w:val="Header"/>
    <w:rsid w:val="00100D24"/>
    <w:pPr>
      <w:widowControl w:val="0"/>
      <w:tabs>
        <w:tab w:val="clear" w:pos="4680"/>
        <w:tab w:val="clear" w:pos="9360"/>
      </w:tabs>
      <w:spacing w:before="20" w:after="140" w:line="280" w:lineRule="exact"/>
      <w:ind w:right="-72"/>
    </w:pPr>
    <w:rPr>
      <w:rFonts w:ascii="Times New Roman" w:eastAsia="Times New Roman" w:hAnsi="Times New Roman" w:cs="Times New Roman"/>
      <w:sz w:val="24"/>
      <w:szCs w:val="20"/>
    </w:rPr>
  </w:style>
  <w:style w:type="paragraph" w:customStyle="1" w:styleId="chapter1">
    <w:name w:val="chapter1"/>
    <w:basedOn w:val="Normal"/>
    <w:rsid w:val="00100D24"/>
    <w:pPr>
      <w:widowControl w:val="0"/>
      <w:spacing w:before="100" w:after="0" w:line="280" w:lineRule="atLeast"/>
    </w:pPr>
    <w:rPr>
      <w:rFonts w:ascii="Times New Roman" w:eastAsia="Times New Roman" w:hAnsi="Times New Roman" w:cs="Times New Roman"/>
      <w:sz w:val="24"/>
      <w:szCs w:val="20"/>
    </w:rPr>
  </w:style>
  <w:style w:type="paragraph" w:customStyle="1" w:styleId="manualname">
    <w:name w:val="manual name"/>
    <w:basedOn w:val="Header"/>
    <w:rsid w:val="00100D24"/>
    <w:pPr>
      <w:widowControl w:val="0"/>
      <w:tabs>
        <w:tab w:val="clear" w:pos="4680"/>
        <w:tab w:val="clear" w:pos="9360"/>
        <w:tab w:val="left" w:pos="-1440"/>
        <w:tab w:val="left" w:pos="792"/>
      </w:tabs>
      <w:spacing w:before="120" w:after="120" w:line="280" w:lineRule="exact"/>
    </w:pPr>
    <w:rPr>
      <w:rFonts w:ascii="Times New Roman" w:eastAsia="Times New Roman" w:hAnsi="Times New Roman" w:cs="Times New Roman"/>
      <w:sz w:val="24"/>
      <w:szCs w:val="20"/>
    </w:rPr>
  </w:style>
  <w:style w:type="paragraph" w:customStyle="1" w:styleId="header8">
    <w:name w:val="header8"/>
    <w:basedOn w:val="footer8"/>
    <w:rsid w:val="00100D24"/>
    <w:pPr>
      <w:widowControl w:val="0"/>
      <w:autoSpaceDE w:val="0"/>
      <w:autoSpaceDN w:val="0"/>
      <w:adjustRightInd w:val="0"/>
      <w:spacing w:after="0"/>
    </w:pPr>
    <w:rPr>
      <w:szCs w:val="24"/>
    </w:rPr>
  </w:style>
  <w:style w:type="paragraph" w:customStyle="1" w:styleId="footerinfo">
    <w:name w:val="footer info"/>
    <w:basedOn w:val="Header"/>
    <w:rsid w:val="00100D24"/>
    <w:pPr>
      <w:widowControl w:val="0"/>
      <w:tabs>
        <w:tab w:val="clear" w:pos="4680"/>
        <w:tab w:val="clear" w:pos="9360"/>
      </w:tabs>
      <w:spacing w:before="60" w:after="60" w:line="240" w:lineRule="atLeast"/>
    </w:pPr>
    <w:rPr>
      <w:rFonts w:ascii="Times New Roman" w:eastAsia="Times New Roman" w:hAnsi="Times New Roman" w:cs="Times New Roman"/>
      <w:sz w:val="24"/>
      <w:szCs w:val="20"/>
    </w:rPr>
  </w:style>
  <w:style w:type="paragraph" w:customStyle="1" w:styleId="footertitle">
    <w:name w:val="footer title"/>
    <w:basedOn w:val="Normal"/>
    <w:rsid w:val="00100D24"/>
    <w:pPr>
      <w:widowControl w:val="0"/>
      <w:spacing w:before="60" w:after="60" w:line="240" w:lineRule="atLeast"/>
    </w:pPr>
    <w:rPr>
      <w:rFonts w:ascii="Times New Roman" w:eastAsia="Times New Roman" w:hAnsi="Times New Roman" w:cs="Times New Roman"/>
      <w:sz w:val="16"/>
      <w:szCs w:val="20"/>
    </w:rPr>
  </w:style>
  <w:style w:type="paragraph" w:styleId="BalloonText">
    <w:name w:val="Balloon Text"/>
    <w:basedOn w:val="Normal"/>
    <w:link w:val="BalloonTextChar"/>
    <w:uiPriority w:val="99"/>
    <w:semiHidden/>
    <w:unhideWhenUsed/>
    <w:rsid w:val="00E20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CC6"/>
    <w:rPr>
      <w:rFonts w:ascii="Segoe UI" w:hAnsi="Segoe UI" w:cs="Segoe UI"/>
      <w:sz w:val="18"/>
      <w:szCs w:val="18"/>
    </w:rPr>
  </w:style>
  <w:style w:type="paragraph" w:styleId="ListParagraph">
    <w:name w:val="List Paragraph"/>
    <w:basedOn w:val="Normal"/>
    <w:uiPriority w:val="34"/>
    <w:qFormat/>
    <w:rsid w:val="007E5EBF"/>
    <w:pPr>
      <w:spacing w:after="0" w:line="240" w:lineRule="auto"/>
      <w:ind w:left="720"/>
      <w:contextualSpacing/>
    </w:pPr>
    <w:rPr>
      <w:sz w:val="24"/>
      <w:szCs w:val="24"/>
    </w:rPr>
  </w:style>
  <w:style w:type="character" w:styleId="Hyperlink">
    <w:name w:val="Hyperlink"/>
    <w:basedOn w:val="DefaultParagraphFont"/>
    <w:uiPriority w:val="99"/>
    <w:unhideWhenUsed/>
    <w:rsid w:val="007E5EBF"/>
    <w:rPr>
      <w:color w:val="0000FF" w:themeColor="hyperlink"/>
      <w:u w:val="single"/>
    </w:rPr>
  </w:style>
  <w:style w:type="paragraph" w:styleId="NormalWeb">
    <w:name w:val="Normal (Web)"/>
    <w:basedOn w:val="Normal"/>
    <w:uiPriority w:val="99"/>
    <w:unhideWhenUsed/>
    <w:rsid w:val="007E5EBF"/>
    <w:pPr>
      <w:spacing w:before="100" w:beforeAutospacing="1" w:after="100" w:afterAutospacing="1" w:line="240" w:lineRule="auto"/>
    </w:pPr>
    <w:rPr>
      <w:rFonts w:ascii="Times New Roman" w:hAnsi="Times New Roman" w:cs="Times New Roman"/>
      <w:sz w:val="24"/>
      <w:szCs w:val="24"/>
    </w:rPr>
  </w:style>
  <w:style w:type="character" w:styleId="Mention">
    <w:name w:val="Mention"/>
    <w:basedOn w:val="DefaultParagraphFont"/>
    <w:uiPriority w:val="99"/>
    <w:semiHidden/>
    <w:unhideWhenUsed/>
    <w:rsid w:val="00A93FD1"/>
    <w:rPr>
      <w:color w:val="2B579A"/>
      <w:shd w:val="clear" w:color="auto" w:fill="E6E6E6"/>
    </w:rPr>
  </w:style>
  <w:style w:type="character" w:styleId="FollowedHyperlink">
    <w:name w:val="FollowedHyperlink"/>
    <w:basedOn w:val="DefaultParagraphFont"/>
    <w:uiPriority w:val="99"/>
    <w:semiHidden/>
    <w:unhideWhenUsed/>
    <w:rsid w:val="00A93FD1"/>
    <w:rPr>
      <w:color w:val="800080" w:themeColor="followedHyperlink"/>
      <w:u w:val="single"/>
    </w:rPr>
  </w:style>
  <w:style w:type="character" w:styleId="Strong">
    <w:name w:val="Strong"/>
    <w:basedOn w:val="DefaultParagraphFont"/>
    <w:uiPriority w:val="22"/>
    <w:qFormat/>
    <w:rsid w:val="00080F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535031">
      <w:bodyDiv w:val="1"/>
      <w:marLeft w:val="0"/>
      <w:marRight w:val="0"/>
      <w:marTop w:val="0"/>
      <w:marBottom w:val="0"/>
      <w:divBdr>
        <w:top w:val="none" w:sz="0" w:space="0" w:color="auto"/>
        <w:left w:val="none" w:sz="0" w:space="0" w:color="auto"/>
        <w:bottom w:val="none" w:sz="0" w:space="0" w:color="auto"/>
        <w:right w:val="none" w:sz="0" w:space="0" w:color="auto"/>
      </w:divBdr>
      <w:divsChild>
        <w:div w:id="1286624144">
          <w:marLeft w:val="0"/>
          <w:marRight w:val="0"/>
          <w:marTop w:val="0"/>
          <w:marBottom w:val="0"/>
          <w:divBdr>
            <w:top w:val="none" w:sz="0" w:space="0" w:color="auto"/>
            <w:left w:val="none" w:sz="0" w:space="0" w:color="auto"/>
            <w:bottom w:val="none" w:sz="0" w:space="0" w:color="auto"/>
            <w:right w:val="none" w:sz="0" w:space="0" w:color="auto"/>
          </w:divBdr>
          <w:divsChild>
            <w:div w:id="867834317">
              <w:marLeft w:val="-225"/>
              <w:marRight w:val="-225"/>
              <w:marTop w:val="0"/>
              <w:marBottom w:val="0"/>
              <w:divBdr>
                <w:top w:val="none" w:sz="0" w:space="0" w:color="auto"/>
                <w:left w:val="none" w:sz="0" w:space="0" w:color="auto"/>
                <w:bottom w:val="none" w:sz="0" w:space="0" w:color="auto"/>
                <w:right w:val="none" w:sz="0" w:space="0" w:color="auto"/>
              </w:divBdr>
              <w:divsChild>
                <w:div w:id="1930888120">
                  <w:marLeft w:val="0"/>
                  <w:marRight w:val="0"/>
                  <w:marTop w:val="0"/>
                  <w:marBottom w:val="0"/>
                  <w:divBdr>
                    <w:top w:val="none" w:sz="0" w:space="0" w:color="auto"/>
                    <w:left w:val="none" w:sz="0" w:space="0" w:color="auto"/>
                    <w:bottom w:val="none" w:sz="0" w:space="0" w:color="auto"/>
                    <w:right w:val="none" w:sz="0" w:space="0" w:color="auto"/>
                  </w:divBdr>
                  <w:divsChild>
                    <w:div w:id="1993899724">
                      <w:marLeft w:val="0"/>
                      <w:marRight w:val="0"/>
                      <w:marTop w:val="0"/>
                      <w:marBottom w:val="0"/>
                      <w:divBdr>
                        <w:top w:val="none" w:sz="0" w:space="0" w:color="auto"/>
                        <w:left w:val="none" w:sz="0" w:space="0" w:color="auto"/>
                        <w:bottom w:val="none" w:sz="0" w:space="0" w:color="auto"/>
                        <w:right w:val="none" w:sz="0" w:space="0" w:color="auto"/>
                      </w:divBdr>
                      <w:divsChild>
                        <w:div w:id="602618196">
                          <w:marLeft w:val="0"/>
                          <w:marRight w:val="0"/>
                          <w:marTop w:val="0"/>
                          <w:marBottom w:val="0"/>
                          <w:divBdr>
                            <w:top w:val="none" w:sz="0" w:space="0" w:color="auto"/>
                            <w:left w:val="none" w:sz="0" w:space="0" w:color="auto"/>
                            <w:bottom w:val="none" w:sz="0" w:space="0" w:color="auto"/>
                            <w:right w:val="none" w:sz="0" w:space="0" w:color="auto"/>
                          </w:divBdr>
                          <w:divsChild>
                            <w:div w:id="1436056008">
                              <w:marLeft w:val="0"/>
                              <w:marRight w:val="0"/>
                              <w:marTop w:val="0"/>
                              <w:marBottom w:val="0"/>
                              <w:divBdr>
                                <w:top w:val="none" w:sz="0" w:space="0" w:color="auto"/>
                                <w:left w:val="none" w:sz="0" w:space="0" w:color="auto"/>
                                <w:bottom w:val="none" w:sz="0" w:space="0" w:color="auto"/>
                                <w:right w:val="none" w:sz="0" w:space="0" w:color="auto"/>
                              </w:divBdr>
                              <w:divsChild>
                                <w:div w:id="1589924148">
                                  <w:marLeft w:val="0"/>
                                  <w:marRight w:val="0"/>
                                  <w:marTop w:val="0"/>
                                  <w:marBottom w:val="0"/>
                                  <w:divBdr>
                                    <w:top w:val="none" w:sz="0" w:space="0" w:color="auto"/>
                                    <w:left w:val="none" w:sz="0" w:space="0" w:color="auto"/>
                                    <w:bottom w:val="none" w:sz="0" w:space="0" w:color="auto"/>
                                    <w:right w:val="none" w:sz="0" w:space="0" w:color="auto"/>
                                  </w:divBdr>
                                  <w:divsChild>
                                    <w:div w:id="8916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phpr/publications/2008/appendix6.pdf" TargetMode="External"/><Relationship Id="rId13" Type="http://schemas.openxmlformats.org/officeDocument/2006/relationships/hyperlink" Target="https://www.cdc.gov/vhf/ebola/healthcare-us/ppe/guidance.html" TargetMode="External"/><Relationship Id="rId18" Type="http://schemas.openxmlformats.org/officeDocument/2006/relationships/hyperlink" Target="https://iab.gov/Uploads/IAB%20Ebola%20PPE%20Recommendations_10%2024%2014.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dc.gov/vhf/ebola/healthcare-us/cleaning/hospitals.html%20" TargetMode="External"/><Relationship Id="rId17" Type="http://schemas.openxmlformats.org/officeDocument/2006/relationships/hyperlink" Target="https://www.cdc.gov/vhf/ebola/healthcare-us/emergency-services/ems-system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c.gov/vhf/ebola/healthcare-us/ppe/guidance.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s.phmsa.dot.gov/transporting-infectious-substances/transporting-infectious-substances-overview%2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dc.gov/vhf/ebola/healthcare-us/cleaning/handling-waste.html" TargetMode="External"/><Relationship Id="rId23" Type="http://schemas.openxmlformats.org/officeDocument/2006/relationships/header" Target="header3.xml"/><Relationship Id="rId10" Type="http://schemas.openxmlformats.org/officeDocument/2006/relationships/hyperlink" Target="https://www.cdc.gov/vhf/ebola/healthcare-us/cleaning/waste-management.html%2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infectioncontrol/guidelines/disinfection/index.html" TargetMode="External"/><Relationship Id="rId14" Type="http://schemas.openxmlformats.org/officeDocument/2006/relationships/hyperlink" Target="https://www.pca.state.mn.us/waste/hazardous-wast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51574-3952-4DAD-A111-8045B797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2759</Words>
  <Characters>15729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Sheldrew, Donald</cp:lastModifiedBy>
  <cp:revision>3</cp:revision>
  <cp:lastPrinted>2016-07-06T15:25:00Z</cp:lastPrinted>
  <dcterms:created xsi:type="dcterms:W3CDTF">2021-06-14T14:31:00Z</dcterms:created>
  <dcterms:modified xsi:type="dcterms:W3CDTF">2021-06-16T18:50:00Z</dcterms:modified>
</cp:coreProperties>
</file>