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F9B2" w14:textId="39A278A5" w:rsidR="004B3DC7" w:rsidRDefault="007712EF" w:rsidP="00836646">
      <w:pPr>
        <w:spacing w:after="0" w:line="240" w:lineRule="auto"/>
        <w:rPr>
          <w:noProof/>
        </w:rPr>
      </w:pPr>
      <w:r>
        <w:rPr>
          <w:rFonts w:cs="Arial"/>
          <w:b/>
          <w:noProof/>
        </w:rPr>
        <w:drawing>
          <wp:anchor distT="0" distB="0" distL="114300" distR="114300" simplePos="0" relativeHeight="251658240" behindDoc="0" locked="0" layoutInCell="1" allowOverlap="1" wp14:anchorId="7D93DE59" wp14:editId="2CC60980">
            <wp:simplePos x="0" y="0"/>
            <wp:positionH relativeFrom="margin">
              <wp:posOffset>-523875</wp:posOffset>
            </wp:positionH>
            <wp:positionV relativeFrom="paragraph">
              <wp:posOffset>-142875</wp:posOffset>
            </wp:positionV>
            <wp:extent cx="1718815" cy="1216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l logo 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815" cy="1216025"/>
                    </a:xfrm>
                    <a:prstGeom prst="rect">
                      <a:avLst/>
                    </a:prstGeom>
                  </pic:spPr>
                </pic:pic>
              </a:graphicData>
            </a:graphic>
            <wp14:sizeRelH relativeFrom="margin">
              <wp14:pctWidth>0</wp14:pctWidth>
            </wp14:sizeRelH>
            <wp14:sizeRelV relativeFrom="margin">
              <wp14:pctHeight>0</wp14:pctHeight>
            </wp14:sizeRelV>
          </wp:anchor>
        </w:drawing>
      </w:r>
      <w:r w:rsidR="004C5A54">
        <w:rPr>
          <w:noProof/>
        </w:rPr>
        <w:t>`</w:t>
      </w:r>
      <w:r w:rsidR="004C5A54">
        <w:rPr>
          <w:noProof/>
        </w:rPr>
        <w:tab/>
        <w:t>qa!</w:t>
      </w:r>
      <w:r w:rsidR="00A41B13" w:rsidRPr="00836646">
        <w:rPr>
          <w:noProof/>
        </w:rPr>
        <w:tab/>
      </w:r>
      <w:r w:rsidR="00A41B13" w:rsidRPr="00836646">
        <w:rPr>
          <w:noProof/>
        </w:rPr>
        <w:tab/>
      </w:r>
      <w:r w:rsidR="00A41B13" w:rsidRPr="00836646">
        <w:rPr>
          <w:noProof/>
        </w:rPr>
        <w:tab/>
      </w:r>
    </w:p>
    <w:p w14:paraId="49A2DC83" w14:textId="2436F398" w:rsidR="002C4B90" w:rsidRDefault="00A41B13" w:rsidP="002C4B90">
      <w:pPr>
        <w:spacing w:after="0" w:line="240" w:lineRule="auto"/>
        <w:rPr>
          <w:b/>
        </w:rPr>
      </w:pPr>
      <w:r w:rsidRPr="00836646">
        <w:rPr>
          <w:noProof/>
        </w:rPr>
        <w:tab/>
      </w:r>
      <w:r w:rsidRPr="00836646">
        <w:rPr>
          <w:noProof/>
        </w:rPr>
        <w:tab/>
      </w:r>
      <w:r w:rsidRPr="00836646">
        <w:rPr>
          <w:noProof/>
        </w:rPr>
        <w:tab/>
      </w:r>
      <w:r w:rsidRPr="00836646">
        <w:rPr>
          <w:noProof/>
        </w:rPr>
        <w:tab/>
      </w:r>
    </w:p>
    <w:p w14:paraId="6D0CD2B9" w14:textId="7EF9A103" w:rsidR="00DA18E6" w:rsidRPr="00836646" w:rsidRDefault="00320000" w:rsidP="00254B40">
      <w:pPr>
        <w:spacing w:after="0" w:line="240" w:lineRule="auto"/>
        <w:jc w:val="center"/>
        <w:rPr>
          <w:b/>
        </w:rPr>
      </w:pPr>
      <w:r>
        <w:rPr>
          <w:b/>
        </w:rPr>
        <w:t xml:space="preserve">Central </w:t>
      </w:r>
      <w:r w:rsidR="007712EF">
        <w:rPr>
          <w:b/>
        </w:rPr>
        <w:t xml:space="preserve">MN Regional Healthcare </w:t>
      </w:r>
      <w:r w:rsidR="00254B40">
        <w:rPr>
          <w:b/>
        </w:rPr>
        <w:t>LTC Committee</w:t>
      </w:r>
    </w:p>
    <w:p w14:paraId="1FFD043C" w14:textId="3DCFBF7E" w:rsidR="00DA18E6" w:rsidRDefault="00254B40" w:rsidP="00836646">
      <w:pPr>
        <w:spacing w:after="0" w:line="240" w:lineRule="auto"/>
        <w:jc w:val="center"/>
        <w:rPr>
          <w:b/>
        </w:rPr>
      </w:pPr>
      <w:bookmarkStart w:id="0" w:name="_Hlk503438712"/>
      <w:r>
        <w:rPr>
          <w:b/>
        </w:rPr>
        <w:t>May 18</w:t>
      </w:r>
      <w:r w:rsidRPr="00254B40">
        <w:rPr>
          <w:b/>
          <w:vertAlign w:val="superscript"/>
        </w:rPr>
        <w:t>th</w:t>
      </w:r>
      <w:r>
        <w:rPr>
          <w:b/>
        </w:rPr>
        <w:t>, 2018</w:t>
      </w:r>
    </w:p>
    <w:bookmarkEnd w:id="0"/>
    <w:p w14:paraId="4898438B" w14:textId="6D73D98E" w:rsidR="007D2035" w:rsidRDefault="00FC6187" w:rsidP="00836646">
      <w:pPr>
        <w:spacing w:after="0" w:line="240" w:lineRule="auto"/>
        <w:jc w:val="center"/>
        <w:rPr>
          <w:b/>
        </w:rPr>
      </w:pPr>
      <w:r>
        <w:rPr>
          <w:b/>
        </w:rPr>
        <w:t>CentraCare Plaza</w:t>
      </w:r>
    </w:p>
    <w:p w14:paraId="71CD2CB5" w14:textId="77777777" w:rsidR="002C4B90" w:rsidRDefault="002C4B90" w:rsidP="00836646">
      <w:pPr>
        <w:spacing w:after="0" w:line="240" w:lineRule="auto"/>
        <w:jc w:val="center"/>
        <w:rPr>
          <w:b/>
        </w:rPr>
      </w:pPr>
      <w:r>
        <w:rPr>
          <w:b/>
        </w:rPr>
        <w:t xml:space="preserve">1900 CentraCare Circle, </w:t>
      </w:r>
    </w:p>
    <w:p w14:paraId="106E1D2B" w14:textId="4C92FDB1" w:rsidR="002C4B90" w:rsidRDefault="002C4B90" w:rsidP="00836646">
      <w:pPr>
        <w:spacing w:after="0" w:line="240" w:lineRule="auto"/>
        <w:jc w:val="center"/>
        <w:rPr>
          <w:b/>
        </w:rPr>
      </w:pPr>
      <w:r>
        <w:rPr>
          <w:b/>
        </w:rPr>
        <w:t>St. Cloud 56303</w:t>
      </w:r>
    </w:p>
    <w:tbl>
      <w:tblPr>
        <w:tblW w:w="980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610"/>
        <w:gridCol w:w="5751"/>
      </w:tblGrid>
      <w:tr w:rsidR="007D2035" w:rsidRPr="00D25732" w14:paraId="1D417DB2" w14:textId="77777777" w:rsidTr="00E3214D">
        <w:trPr>
          <w:cantSplit/>
          <w:trHeight w:val="324"/>
        </w:trPr>
        <w:tc>
          <w:tcPr>
            <w:tcW w:w="1440" w:type="dxa"/>
            <w:tcBorders>
              <w:top w:val="single" w:sz="4" w:space="0" w:color="auto"/>
              <w:left w:val="single" w:sz="4" w:space="0" w:color="auto"/>
              <w:bottom w:val="single" w:sz="4" w:space="0" w:color="auto"/>
            </w:tcBorders>
            <w:hideMark/>
          </w:tcPr>
          <w:p w14:paraId="38836854" w14:textId="1644F450" w:rsidR="007C3F49" w:rsidRPr="00D25732" w:rsidRDefault="00E3214D" w:rsidP="00D25732">
            <w:pPr>
              <w:spacing w:after="0" w:line="240" w:lineRule="auto"/>
              <w:rPr>
                <w:rFonts w:asciiTheme="minorHAnsi" w:eastAsia="Times New Roman" w:hAnsiTheme="minorHAnsi" w:cs="Arial"/>
                <w:b/>
              </w:rPr>
            </w:pPr>
            <w:r>
              <w:rPr>
                <w:rFonts w:asciiTheme="minorHAnsi" w:eastAsia="Times New Roman" w:hAnsiTheme="minorHAnsi" w:cs="Arial"/>
                <w:b/>
              </w:rPr>
              <w:t>0</w:t>
            </w:r>
            <w:bookmarkStart w:id="1" w:name="_GoBack"/>
            <w:bookmarkEnd w:id="1"/>
            <w:r w:rsidR="00254B40">
              <w:rPr>
                <w:rFonts w:asciiTheme="minorHAnsi" w:eastAsia="Times New Roman" w:hAnsiTheme="minorHAnsi" w:cs="Arial"/>
                <w:b/>
              </w:rPr>
              <w:t>830 - 1030</w:t>
            </w:r>
          </w:p>
        </w:tc>
        <w:tc>
          <w:tcPr>
            <w:tcW w:w="2610" w:type="dxa"/>
            <w:tcBorders>
              <w:top w:val="single" w:sz="4" w:space="0" w:color="auto"/>
              <w:bottom w:val="single" w:sz="4" w:space="0" w:color="auto"/>
            </w:tcBorders>
            <w:hideMark/>
          </w:tcPr>
          <w:p w14:paraId="23417401" w14:textId="284D8CC0" w:rsidR="0069111D" w:rsidRDefault="00254B40"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LTC </w:t>
            </w:r>
            <w:r w:rsidR="0069111D">
              <w:rPr>
                <w:rFonts w:asciiTheme="minorHAnsi" w:eastAsia="Times New Roman" w:hAnsiTheme="minorHAnsi" w:cs="Arial"/>
              </w:rPr>
              <w:t xml:space="preserve">Committee Meeting </w:t>
            </w:r>
          </w:p>
          <w:p w14:paraId="11CB82B6" w14:textId="77777777" w:rsidR="007D2035" w:rsidRDefault="00FC6187" w:rsidP="00D25732">
            <w:pPr>
              <w:spacing w:after="0" w:line="240" w:lineRule="auto"/>
              <w:rPr>
                <w:rFonts w:asciiTheme="minorHAnsi" w:eastAsia="Times New Roman" w:hAnsiTheme="minorHAnsi" w:cs="Arial"/>
              </w:rPr>
            </w:pPr>
            <w:r w:rsidRPr="00FC6187">
              <w:rPr>
                <w:rFonts w:asciiTheme="minorHAnsi" w:eastAsia="Times New Roman" w:hAnsiTheme="minorHAnsi" w:cs="Arial"/>
              </w:rPr>
              <w:t>Call to Order</w:t>
            </w:r>
          </w:p>
          <w:p w14:paraId="673D49C6" w14:textId="77777777" w:rsidR="00254B40" w:rsidRDefault="00254B40" w:rsidP="00254B40">
            <w:pPr>
              <w:pStyle w:val="ListParagraph"/>
              <w:numPr>
                <w:ilvl w:val="0"/>
                <w:numId w:val="18"/>
              </w:numPr>
              <w:spacing w:after="0" w:line="240" w:lineRule="auto"/>
              <w:rPr>
                <w:rFonts w:asciiTheme="minorHAnsi" w:eastAsia="Times New Roman" w:hAnsiTheme="minorHAnsi" w:cs="Arial"/>
              </w:rPr>
            </w:pPr>
            <w:r>
              <w:rPr>
                <w:rFonts w:asciiTheme="minorHAnsi" w:eastAsia="Times New Roman" w:hAnsiTheme="minorHAnsi" w:cs="Arial"/>
              </w:rPr>
              <w:t>LTC Drill / Development</w:t>
            </w:r>
          </w:p>
          <w:p w14:paraId="02A300DA" w14:textId="30845957" w:rsidR="00254B40" w:rsidRDefault="00254B40" w:rsidP="00254B40">
            <w:pPr>
              <w:pStyle w:val="ListParagraph"/>
              <w:numPr>
                <w:ilvl w:val="0"/>
                <w:numId w:val="18"/>
              </w:numPr>
              <w:spacing w:after="0" w:line="240" w:lineRule="auto"/>
              <w:rPr>
                <w:rFonts w:asciiTheme="minorHAnsi" w:eastAsia="Times New Roman" w:hAnsiTheme="minorHAnsi" w:cs="Arial"/>
              </w:rPr>
            </w:pPr>
            <w:proofErr w:type="spellStart"/>
            <w:r>
              <w:rPr>
                <w:rFonts w:asciiTheme="minorHAnsi" w:eastAsia="Times New Roman" w:hAnsiTheme="minorHAnsi" w:cs="Arial"/>
              </w:rPr>
              <w:t>MNTrac</w:t>
            </w:r>
            <w:proofErr w:type="spellEnd"/>
            <w:r>
              <w:rPr>
                <w:rFonts w:asciiTheme="minorHAnsi" w:eastAsia="Times New Roman" w:hAnsiTheme="minorHAnsi" w:cs="Arial"/>
              </w:rPr>
              <w:t xml:space="preserve"> – </w:t>
            </w:r>
            <w:r w:rsidR="00AA672F">
              <w:rPr>
                <w:rFonts w:asciiTheme="minorHAnsi" w:eastAsia="Times New Roman" w:hAnsiTheme="minorHAnsi" w:cs="Arial"/>
              </w:rPr>
              <w:t>Sign up, bed counts</w:t>
            </w:r>
          </w:p>
          <w:p w14:paraId="14EB673D" w14:textId="7305638B" w:rsidR="00A22DD7" w:rsidRPr="00A22DD7" w:rsidRDefault="00254B40" w:rsidP="00A22DD7">
            <w:pPr>
              <w:pStyle w:val="ListParagraph"/>
              <w:numPr>
                <w:ilvl w:val="0"/>
                <w:numId w:val="18"/>
              </w:numPr>
              <w:spacing w:after="0" w:line="240" w:lineRule="auto"/>
              <w:rPr>
                <w:rFonts w:asciiTheme="minorHAnsi" w:eastAsia="Times New Roman" w:hAnsiTheme="minorHAnsi" w:cs="Arial"/>
              </w:rPr>
            </w:pPr>
            <w:r w:rsidRPr="00A22DD7">
              <w:rPr>
                <w:rFonts w:asciiTheme="minorHAnsi" w:eastAsia="Times New Roman" w:hAnsiTheme="minorHAnsi" w:cs="Arial"/>
              </w:rPr>
              <w:t>BP1-Supplemental -</w:t>
            </w:r>
            <w:r w:rsidR="00A22DD7" w:rsidRPr="00A22DD7">
              <w:rPr>
                <w:rFonts w:asciiTheme="minorHAnsi" w:eastAsia="Times New Roman" w:hAnsiTheme="minorHAnsi" w:cs="Arial"/>
              </w:rPr>
              <w:t xml:space="preserve"> </w:t>
            </w:r>
            <w:r w:rsidRPr="00A22DD7">
              <w:rPr>
                <w:rFonts w:asciiTheme="minorHAnsi" w:eastAsia="Times New Roman" w:hAnsiTheme="minorHAnsi" w:cs="Arial"/>
              </w:rPr>
              <w:t>W</w:t>
            </w:r>
            <w:r w:rsidRPr="00A22DD7">
              <w:rPr>
                <w:rFonts w:eastAsia="Times New Roman"/>
              </w:rPr>
              <w:t xml:space="preserve">e have </w:t>
            </w:r>
            <w:r w:rsidR="00A22DD7" w:rsidRPr="00A22DD7">
              <w:rPr>
                <w:rFonts w:eastAsia="Times New Roman"/>
                <w:b/>
              </w:rPr>
              <w:t>proposed funds</w:t>
            </w:r>
            <w:r w:rsidR="00A22DD7">
              <w:rPr>
                <w:rFonts w:eastAsia="Times New Roman"/>
              </w:rPr>
              <w:t xml:space="preserve"> </w:t>
            </w:r>
            <w:r w:rsidRPr="00A22DD7">
              <w:rPr>
                <w:rFonts w:eastAsia="Times New Roman"/>
              </w:rPr>
              <w:t xml:space="preserve">for </w:t>
            </w:r>
            <w:proofErr w:type="gramStart"/>
            <w:r w:rsidR="00A22DD7">
              <w:rPr>
                <w:rFonts w:eastAsia="Times New Roman"/>
              </w:rPr>
              <w:t>a</w:t>
            </w:r>
            <w:proofErr w:type="gramEnd"/>
            <w:r w:rsidR="00A22DD7">
              <w:rPr>
                <w:rFonts w:eastAsia="Times New Roman"/>
              </w:rPr>
              <w:t xml:space="preserve"> </w:t>
            </w:r>
            <w:r w:rsidRPr="00A22DD7">
              <w:rPr>
                <w:rFonts w:eastAsia="Times New Roman"/>
              </w:rPr>
              <w:t xml:space="preserve">LTC </w:t>
            </w:r>
            <w:r w:rsidR="00A22DD7">
              <w:rPr>
                <w:rFonts w:eastAsia="Times New Roman"/>
              </w:rPr>
              <w:t>w</w:t>
            </w:r>
            <w:r w:rsidRPr="00A22DD7">
              <w:rPr>
                <w:rFonts w:eastAsia="Times New Roman"/>
              </w:rPr>
              <w:t>orkshop</w:t>
            </w:r>
            <w:r w:rsidR="00A22DD7">
              <w:rPr>
                <w:rFonts w:eastAsia="Times New Roman"/>
              </w:rPr>
              <w:t xml:space="preserve"> (2018-2019)</w:t>
            </w:r>
            <w:r w:rsidRPr="00A22DD7">
              <w:rPr>
                <w:rFonts w:eastAsia="Times New Roman"/>
              </w:rPr>
              <w:t xml:space="preserve">. If we were to host a workshop, </w:t>
            </w:r>
          </w:p>
          <w:p w14:paraId="754D060C" w14:textId="10A70F9A" w:rsidR="00A22DD7" w:rsidRDefault="00A22DD7" w:rsidP="00A22DD7">
            <w:pPr>
              <w:pStyle w:val="ListParagraph"/>
              <w:numPr>
                <w:ilvl w:val="1"/>
                <w:numId w:val="19"/>
              </w:numPr>
              <w:spacing w:after="0" w:line="240" w:lineRule="auto"/>
              <w:rPr>
                <w:rFonts w:eastAsia="Times New Roman"/>
              </w:rPr>
            </w:pPr>
            <w:r>
              <w:rPr>
                <w:rFonts w:eastAsia="Times New Roman"/>
              </w:rPr>
              <w:t>W</w:t>
            </w:r>
            <w:r w:rsidR="00254B40" w:rsidRPr="00A22DD7">
              <w:rPr>
                <w:rFonts w:eastAsia="Times New Roman"/>
              </w:rPr>
              <w:t xml:space="preserve">hat topics would </w:t>
            </w:r>
            <w:r w:rsidRPr="00A22DD7">
              <w:rPr>
                <w:rFonts w:eastAsia="Times New Roman"/>
              </w:rPr>
              <w:t xml:space="preserve">be of interest, </w:t>
            </w:r>
          </w:p>
          <w:p w14:paraId="3B9D478C" w14:textId="77777777" w:rsidR="00A22DD7" w:rsidRDefault="00A22DD7" w:rsidP="00A22DD7">
            <w:pPr>
              <w:pStyle w:val="ListParagraph"/>
              <w:numPr>
                <w:ilvl w:val="1"/>
                <w:numId w:val="19"/>
              </w:numPr>
              <w:spacing w:after="0" w:line="240" w:lineRule="auto"/>
              <w:rPr>
                <w:rFonts w:eastAsia="Times New Roman"/>
              </w:rPr>
            </w:pPr>
            <w:r>
              <w:rPr>
                <w:rFonts w:eastAsia="Times New Roman"/>
              </w:rPr>
              <w:t xml:space="preserve">Detail / Depth </w:t>
            </w:r>
            <w:r w:rsidR="00254B40" w:rsidRPr="00A22DD7">
              <w:rPr>
                <w:rFonts w:eastAsia="Times New Roman"/>
              </w:rPr>
              <w:t xml:space="preserve">of each topic. </w:t>
            </w:r>
          </w:p>
          <w:p w14:paraId="6B172754" w14:textId="30C8CEEC" w:rsidR="00A22DD7" w:rsidRPr="00A22DD7" w:rsidRDefault="00A22DD7" w:rsidP="00A22DD7">
            <w:pPr>
              <w:pStyle w:val="ListParagraph"/>
              <w:numPr>
                <w:ilvl w:val="1"/>
                <w:numId w:val="19"/>
              </w:numPr>
              <w:spacing w:after="0" w:line="240" w:lineRule="auto"/>
              <w:rPr>
                <w:rFonts w:asciiTheme="minorHAnsi" w:eastAsia="Times New Roman" w:hAnsiTheme="minorHAnsi" w:cs="Arial"/>
              </w:rPr>
            </w:pPr>
            <w:r>
              <w:rPr>
                <w:rFonts w:eastAsia="Times New Roman"/>
              </w:rPr>
              <w:t xml:space="preserve">Time – one day, two </w:t>
            </w:r>
            <w:proofErr w:type="gramStart"/>
            <w:r>
              <w:rPr>
                <w:rFonts w:eastAsia="Times New Roman"/>
              </w:rPr>
              <w:t>day</w:t>
            </w:r>
            <w:proofErr w:type="gramEnd"/>
            <w:r>
              <w:rPr>
                <w:rFonts w:eastAsia="Times New Roman"/>
              </w:rPr>
              <w:t>?</w:t>
            </w:r>
          </w:p>
          <w:p w14:paraId="22B6FE4A" w14:textId="0D2F3908" w:rsidR="00A22DD7" w:rsidRPr="00A22DD7" w:rsidRDefault="00A22DD7" w:rsidP="00A22DD7">
            <w:pPr>
              <w:pStyle w:val="ListParagraph"/>
              <w:numPr>
                <w:ilvl w:val="1"/>
                <w:numId w:val="19"/>
              </w:numPr>
              <w:spacing w:after="0" w:line="240" w:lineRule="auto"/>
              <w:rPr>
                <w:rFonts w:asciiTheme="minorHAnsi" w:eastAsia="Times New Roman" w:hAnsiTheme="minorHAnsi" w:cs="Arial"/>
              </w:rPr>
            </w:pPr>
            <w:r>
              <w:rPr>
                <w:rFonts w:asciiTheme="minorHAnsi" w:eastAsia="Times New Roman" w:hAnsiTheme="minorHAnsi" w:cs="Arial"/>
              </w:rPr>
              <w:t>Combine with West Central or just Central</w:t>
            </w:r>
          </w:p>
          <w:p w14:paraId="24462BC5" w14:textId="67AB8E7E" w:rsidR="00254B40" w:rsidRPr="00A22DD7" w:rsidRDefault="00254B40" w:rsidP="00A22DD7">
            <w:pPr>
              <w:spacing w:after="0" w:line="240" w:lineRule="auto"/>
              <w:rPr>
                <w:rFonts w:asciiTheme="minorHAnsi" w:eastAsia="Times New Roman" w:hAnsiTheme="minorHAnsi" w:cs="Arial"/>
              </w:rPr>
            </w:pPr>
          </w:p>
        </w:tc>
        <w:tc>
          <w:tcPr>
            <w:tcW w:w="5751" w:type="dxa"/>
            <w:tcBorders>
              <w:top w:val="single" w:sz="4" w:space="0" w:color="auto"/>
              <w:bottom w:val="single" w:sz="4" w:space="0" w:color="auto"/>
            </w:tcBorders>
          </w:tcPr>
          <w:p w14:paraId="125CBC20" w14:textId="09A47B24" w:rsidR="007D2035" w:rsidRPr="002C4B90" w:rsidRDefault="002C4B90" w:rsidP="00D25732">
            <w:pPr>
              <w:spacing w:after="0" w:line="240" w:lineRule="auto"/>
              <w:rPr>
                <w:rFonts w:asciiTheme="minorHAnsi" w:eastAsia="Times New Roman" w:hAnsiTheme="minorHAnsi" w:cs="Arial"/>
              </w:rPr>
            </w:pPr>
            <w:r w:rsidRPr="002C4B90">
              <w:rPr>
                <w:rFonts w:asciiTheme="minorHAnsi" w:eastAsia="Times New Roman" w:hAnsiTheme="minorHAnsi" w:cs="Arial"/>
                <w:b/>
              </w:rPr>
              <w:t>LTC Drill</w:t>
            </w:r>
            <w:r w:rsidRPr="002C4B90">
              <w:rPr>
                <w:rFonts w:asciiTheme="minorHAnsi" w:eastAsia="Times New Roman" w:hAnsiTheme="minorHAnsi" w:cs="Arial"/>
              </w:rPr>
              <w:t>: Reviewed Prepackaged Drill from WC. Reviewed injects and made modifications to include:</w:t>
            </w:r>
          </w:p>
          <w:p w14:paraId="3A5FF183" w14:textId="77777777" w:rsidR="002C4B90" w:rsidRPr="002C4B90" w:rsidRDefault="002C4B90" w:rsidP="002C4B90">
            <w:pPr>
              <w:numPr>
                <w:ilvl w:val="1"/>
                <w:numId w:val="20"/>
              </w:numPr>
              <w:spacing w:after="0" w:line="240" w:lineRule="auto"/>
              <w:ind w:left="436" w:hanging="180"/>
            </w:pPr>
            <w:r w:rsidRPr="002C4B90">
              <w:t xml:space="preserve">include activation of </w:t>
            </w:r>
            <w:proofErr w:type="spellStart"/>
            <w:r w:rsidRPr="002C4B90">
              <w:t>MNTrac</w:t>
            </w:r>
            <w:proofErr w:type="spellEnd"/>
            <w:r w:rsidRPr="002C4B90">
              <w:t xml:space="preserve"> for an available bed count (just to practice and get more facilities to sign on to </w:t>
            </w:r>
            <w:proofErr w:type="spellStart"/>
            <w:r w:rsidRPr="002C4B90">
              <w:t>MNTrac</w:t>
            </w:r>
            <w:proofErr w:type="spellEnd"/>
            <w:r w:rsidRPr="002C4B90">
              <w:t>).</w:t>
            </w:r>
          </w:p>
          <w:p w14:paraId="0DC10A88" w14:textId="0FB92949" w:rsidR="002C4B90" w:rsidRPr="002C4B90" w:rsidRDefault="002C4B90" w:rsidP="002C4B90">
            <w:pPr>
              <w:numPr>
                <w:ilvl w:val="1"/>
                <w:numId w:val="20"/>
              </w:numPr>
              <w:spacing w:after="0" w:line="240" w:lineRule="auto"/>
              <w:ind w:left="526" w:hanging="270"/>
            </w:pPr>
            <w:r w:rsidRPr="002C4B90">
              <w:t xml:space="preserve">Added visitors and guests that wanted to </w:t>
            </w:r>
            <w:r w:rsidRPr="002C4B90">
              <w:t>leave and</w:t>
            </w:r>
            <w:r w:rsidRPr="002C4B90">
              <w:t xml:space="preserve"> we</w:t>
            </w:r>
            <w:r w:rsidRPr="002C4B90">
              <w:t>re</w:t>
            </w:r>
            <w:r w:rsidRPr="002C4B90">
              <w:t xml:space="preserve"> upset that they are not allowed to.</w:t>
            </w:r>
          </w:p>
          <w:p w14:paraId="41BDB203" w14:textId="77777777" w:rsidR="002C4B90" w:rsidRPr="002C4B90" w:rsidRDefault="002C4B90" w:rsidP="002C4B90">
            <w:pPr>
              <w:numPr>
                <w:ilvl w:val="1"/>
                <w:numId w:val="20"/>
              </w:numPr>
              <w:spacing w:after="0" w:line="240" w:lineRule="auto"/>
              <w:ind w:left="526" w:hanging="270"/>
            </w:pPr>
            <w:r w:rsidRPr="002C4B90">
              <w:t>Added families wanting information on their resident (PIO practice)</w:t>
            </w:r>
          </w:p>
          <w:p w14:paraId="2562F62E" w14:textId="77777777" w:rsidR="002C4B90" w:rsidRPr="002C4B90" w:rsidRDefault="002C4B90" w:rsidP="002C4B90">
            <w:pPr>
              <w:numPr>
                <w:ilvl w:val="1"/>
                <w:numId w:val="20"/>
              </w:numPr>
              <w:spacing w:after="0" w:line="240" w:lineRule="auto"/>
              <w:ind w:left="526" w:hanging="270"/>
            </w:pPr>
            <w:r w:rsidRPr="002C4B90">
              <w:t>Added media showed up requesting information (PIO practice).</w:t>
            </w:r>
          </w:p>
          <w:p w14:paraId="608B1B6D" w14:textId="4403E947" w:rsidR="002C4B90" w:rsidRPr="002C4B90" w:rsidRDefault="002C4B90" w:rsidP="002C4B90">
            <w:pPr>
              <w:numPr>
                <w:ilvl w:val="1"/>
                <w:numId w:val="20"/>
              </w:numPr>
              <w:spacing w:after="0" w:line="240" w:lineRule="auto"/>
              <w:ind w:left="526" w:hanging="270"/>
            </w:pPr>
            <w:r w:rsidRPr="002C4B90">
              <w:t xml:space="preserve">Added Home Care/Hospice by stating that the community at large may be affected including Home Care Clients within a </w:t>
            </w:r>
            <w:r w:rsidRPr="002C4B90">
              <w:t>10-mile</w:t>
            </w:r>
            <w:r w:rsidRPr="002C4B90">
              <w:t xml:space="preserve"> radius</w:t>
            </w:r>
          </w:p>
          <w:p w14:paraId="53A800D5" w14:textId="20FDFBD1" w:rsidR="002C4B90" w:rsidRPr="002C4B90" w:rsidRDefault="002C4B90" w:rsidP="002C4B90">
            <w:pPr>
              <w:numPr>
                <w:ilvl w:val="1"/>
                <w:numId w:val="20"/>
              </w:numPr>
              <w:spacing w:after="0" w:line="240" w:lineRule="auto"/>
              <w:ind w:left="526" w:hanging="270"/>
            </w:pPr>
            <w:r w:rsidRPr="002C4B90">
              <w:t>Set the date as September 27</w:t>
            </w:r>
            <w:r w:rsidRPr="002C4B90">
              <w:rPr>
                <w:vertAlign w:val="superscript"/>
              </w:rPr>
              <w:t>th</w:t>
            </w:r>
            <w:r w:rsidRPr="002C4B90">
              <w:t xml:space="preserve"> (if </w:t>
            </w:r>
            <w:r w:rsidRPr="002C4B90">
              <w:t xml:space="preserve">date </w:t>
            </w:r>
            <w:proofErr w:type="gramStart"/>
            <w:r w:rsidRPr="002C4B90">
              <w:t xml:space="preserve">works) </w:t>
            </w:r>
            <w:r w:rsidRPr="002C4B90">
              <w:t xml:space="preserve"> –</w:t>
            </w:r>
            <w:proofErr w:type="gramEnd"/>
            <w:r w:rsidRPr="002C4B90">
              <w:t xml:space="preserve"> alternate date would be October 4</w:t>
            </w:r>
            <w:r w:rsidRPr="002C4B90">
              <w:rPr>
                <w:vertAlign w:val="superscript"/>
              </w:rPr>
              <w:t>th</w:t>
            </w:r>
            <w:r w:rsidRPr="002C4B90">
              <w:t>.</w:t>
            </w:r>
          </w:p>
          <w:p w14:paraId="4AB2470F" w14:textId="4D719F19" w:rsidR="002C4B90" w:rsidRPr="002C4B90" w:rsidRDefault="002C4B90" w:rsidP="002C4B90">
            <w:pPr>
              <w:numPr>
                <w:ilvl w:val="1"/>
                <w:numId w:val="20"/>
              </w:numPr>
              <w:spacing w:after="0" w:line="240" w:lineRule="auto"/>
              <w:ind w:left="526" w:hanging="270"/>
            </w:pPr>
            <w:r w:rsidRPr="002C4B90">
              <w:t>Injects – Need discussion as to having a SIM Cell send or internally</w:t>
            </w:r>
          </w:p>
          <w:p w14:paraId="1AF16A29" w14:textId="4A1AEB36" w:rsidR="002C4B90" w:rsidRPr="002C4B90" w:rsidRDefault="002C4B90" w:rsidP="002C4B90">
            <w:pPr>
              <w:spacing w:after="0" w:line="240" w:lineRule="auto"/>
              <w:rPr>
                <w:rFonts w:eastAsia="Times New Roman"/>
              </w:rPr>
            </w:pPr>
            <w:r w:rsidRPr="002C4B90">
              <w:rPr>
                <w:rFonts w:eastAsia="Times New Roman"/>
                <w:b/>
              </w:rPr>
              <w:t>P</w:t>
            </w:r>
            <w:r w:rsidRPr="002C4B90">
              <w:rPr>
                <w:rFonts w:eastAsia="Times New Roman"/>
                <w:b/>
              </w:rPr>
              <w:t>roposed funds</w:t>
            </w:r>
            <w:r w:rsidRPr="002C4B90">
              <w:rPr>
                <w:rFonts w:eastAsia="Times New Roman"/>
                <w:b/>
              </w:rPr>
              <w:t xml:space="preserve"> – </w:t>
            </w:r>
            <w:r w:rsidRPr="002C4B90">
              <w:rPr>
                <w:rFonts w:eastAsia="Times New Roman"/>
              </w:rPr>
              <w:t>Need clarity on what funds can be used for and how obtained</w:t>
            </w:r>
          </w:p>
          <w:p w14:paraId="05BE490B" w14:textId="04B82691" w:rsidR="002C4B90" w:rsidRPr="002C4B90" w:rsidRDefault="002C4B90" w:rsidP="002C4B90">
            <w:pPr>
              <w:spacing w:after="0" w:line="240" w:lineRule="auto"/>
            </w:pPr>
            <w:r w:rsidRPr="002C4B90">
              <w:t xml:space="preserve">  </w:t>
            </w:r>
          </w:p>
          <w:p w14:paraId="119D9B04" w14:textId="77777777" w:rsidR="002C4B90" w:rsidRPr="002C4B90" w:rsidRDefault="002C4B90" w:rsidP="002C4B90">
            <w:pPr>
              <w:numPr>
                <w:ilvl w:val="0"/>
                <w:numId w:val="21"/>
              </w:numPr>
              <w:spacing w:after="0" w:line="240" w:lineRule="auto"/>
              <w:ind w:left="796"/>
            </w:pPr>
            <w:r w:rsidRPr="002C4B90">
              <w:t>They would like ICS training for a “Train the Trainer” class at the Plaza (face to face meeting).  Each facility would send who they want to attend and then they could use the PowerPoint to teach back at their facility.</w:t>
            </w:r>
          </w:p>
          <w:p w14:paraId="6650A3F2" w14:textId="77777777" w:rsidR="002C4B90" w:rsidRPr="002C4B90" w:rsidRDefault="002C4B90" w:rsidP="002C4B90">
            <w:pPr>
              <w:numPr>
                <w:ilvl w:val="0"/>
                <w:numId w:val="21"/>
              </w:numPr>
              <w:spacing w:after="0" w:line="240" w:lineRule="auto"/>
              <w:ind w:left="796"/>
            </w:pPr>
            <w:r w:rsidRPr="002C4B90">
              <w:t>In terms of setting a date, they asked with you would select 3 dates and times and send out a Survey Monkey asking which date would work best with the highest number being selected.</w:t>
            </w:r>
          </w:p>
          <w:p w14:paraId="3EAE5D4C" w14:textId="2F175651" w:rsidR="002C4B90" w:rsidRDefault="002C4B90" w:rsidP="002C4B90">
            <w:pPr>
              <w:numPr>
                <w:ilvl w:val="0"/>
                <w:numId w:val="21"/>
              </w:numPr>
              <w:spacing w:after="0" w:line="240" w:lineRule="auto"/>
              <w:ind w:left="796"/>
            </w:pPr>
            <w:r w:rsidRPr="002C4B90">
              <w:t xml:space="preserve">There was a question as to </w:t>
            </w:r>
            <w:r w:rsidRPr="002C4B90">
              <w:t>whether</w:t>
            </w:r>
            <w:r w:rsidRPr="002C4B90">
              <w:t>, the funds could be used for equipment needs for facilities like purchasing a Med Sled for each member facility.  I told them I’d have to ask.</w:t>
            </w:r>
          </w:p>
          <w:p w14:paraId="2F919C7E" w14:textId="77777777" w:rsidR="002C4B90" w:rsidRDefault="002C4B90" w:rsidP="002C4B90">
            <w:pPr>
              <w:spacing w:after="0" w:line="240" w:lineRule="auto"/>
            </w:pPr>
          </w:p>
          <w:p w14:paraId="66887F40" w14:textId="77777777" w:rsidR="002C4B90" w:rsidRDefault="002C4B90" w:rsidP="002C4B90">
            <w:pPr>
              <w:spacing w:after="0" w:line="240" w:lineRule="auto"/>
            </w:pPr>
          </w:p>
          <w:p w14:paraId="2D572384" w14:textId="002D57A8" w:rsidR="002C4B90" w:rsidRDefault="002C4B90" w:rsidP="002C4B90">
            <w:pPr>
              <w:spacing w:after="0" w:line="240" w:lineRule="auto"/>
            </w:pPr>
            <w:r>
              <w:t>Next Meeting:</w:t>
            </w:r>
          </w:p>
          <w:p w14:paraId="71ED0703" w14:textId="77777777" w:rsidR="002C4B90" w:rsidRPr="002C4B90" w:rsidRDefault="002C4B90" w:rsidP="002C4B90">
            <w:pPr>
              <w:numPr>
                <w:ilvl w:val="0"/>
                <w:numId w:val="22"/>
              </w:numPr>
              <w:spacing w:after="0" w:line="240" w:lineRule="auto"/>
            </w:pPr>
            <w:r w:rsidRPr="002C4B90">
              <w:t>work to develop a “Quick Reference” guide and toolkit for the facilities.</w:t>
            </w:r>
          </w:p>
          <w:p w14:paraId="3003CF14" w14:textId="77777777" w:rsidR="002C4B90" w:rsidRPr="002C4B90" w:rsidRDefault="002C4B90" w:rsidP="002C4B90">
            <w:pPr>
              <w:spacing w:after="0" w:line="240" w:lineRule="auto"/>
            </w:pPr>
          </w:p>
          <w:p w14:paraId="3309E275" w14:textId="2F98961C" w:rsidR="002C4B90" w:rsidRPr="002C4B90" w:rsidRDefault="002C4B90" w:rsidP="00D25732">
            <w:pPr>
              <w:spacing w:after="0" w:line="240" w:lineRule="auto"/>
              <w:rPr>
                <w:rFonts w:asciiTheme="minorHAnsi" w:eastAsia="Times New Roman" w:hAnsiTheme="minorHAnsi" w:cs="Arial"/>
              </w:rPr>
            </w:pPr>
          </w:p>
        </w:tc>
      </w:tr>
      <w:tr w:rsidR="009D534E" w:rsidRPr="00D25732" w14:paraId="6BE5D26C" w14:textId="77777777" w:rsidTr="00E3214D">
        <w:trPr>
          <w:cantSplit/>
          <w:trHeight w:val="683"/>
        </w:trPr>
        <w:tc>
          <w:tcPr>
            <w:tcW w:w="1440" w:type="dxa"/>
            <w:tcBorders>
              <w:top w:val="single" w:sz="4" w:space="0" w:color="auto"/>
              <w:left w:val="single" w:sz="4" w:space="0" w:color="auto"/>
              <w:bottom w:val="single" w:sz="4" w:space="0" w:color="auto"/>
            </w:tcBorders>
          </w:tcPr>
          <w:p w14:paraId="2169CE47" w14:textId="373DD2D3" w:rsidR="009D534E" w:rsidRDefault="00A22DD7" w:rsidP="00EC358D">
            <w:pPr>
              <w:spacing w:after="0" w:line="240" w:lineRule="auto"/>
              <w:rPr>
                <w:rFonts w:asciiTheme="minorHAnsi" w:eastAsia="Times New Roman" w:hAnsiTheme="minorHAnsi" w:cs="Arial"/>
                <w:b/>
              </w:rPr>
            </w:pPr>
            <w:r>
              <w:rPr>
                <w:rFonts w:asciiTheme="minorHAnsi" w:eastAsia="Times New Roman" w:hAnsiTheme="minorHAnsi" w:cs="Arial"/>
                <w:b/>
              </w:rPr>
              <w:t>1020</w:t>
            </w:r>
          </w:p>
        </w:tc>
        <w:tc>
          <w:tcPr>
            <w:tcW w:w="2610" w:type="dxa"/>
            <w:tcBorders>
              <w:top w:val="single" w:sz="4" w:space="0" w:color="auto"/>
              <w:bottom w:val="single" w:sz="4" w:space="0" w:color="auto"/>
            </w:tcBorders>
          </w:tcPr>
          <w:p w14:paraId="731B307D" w14:textId="15DF1041" w:rsidR="00867D63" w:rsidRPr="00AD1FE1" w:rsidRDefault="00254B40" w:rsidP="00EC358D">
            <w:pPr>
              <w:spacing w:after="0" w:line="240" w:lineRule="auto"/>
              <w:rPr>
                <w:rFonts w:asciiTheme="minorHAnsi" w:eastAsia="Times New Roman" w:hAnsiTheme="minorHAnsi" w:cs="Arial"/>
              </w:rPr>
            </w:pPr>
            <w:r>
              <w:rPr>
                <w:rFonts w:asciiTheme="minorHAnsi" w:eastAsia="Times New Roman" w:hAnsiTheme="minorHAnsi" w:cs="Arial"/>
              </w:rPr>
              <w:t>Partner Updates?</w:t>
            </w:r>
          </w:p>
        </w:tc>
        <w:tc>
          <w:tcPr>
            <w:tcW w:w="5751" w:type="dxa"/>
            <w:tcBorders>
              <w:top w:val="single" w:sz="4" w:space="0" w:color="auto"/>
              <w:bottom w:val="single" w:sz="4" w:space="0" w:color="auto"/>
            </w:tcBorders>
          </w:tcPr>
          <w:p w14:paraId="75201C2D" w14:textId="77777777" w:rsidR="009D534E" w:rsidRPr="00D25732" w:rsidRDefault="009D534E" w:rsidP="00EC358D">
            <w:pPr>
              <w:spacing w:after="0" w:line="240" w:lineRule="auto"/>
              <w:rPr>
                <w:rFonts w:asciiTheme="minorHAnsi" w:eastAsia="Times New Roman" w:hAnsiTheme="minorHAnsi" w:cs="Arial"/>
                <w:b/>
              </w:rPr>
            </w:pPr>
          </w:p>
        </w:tc>
      </w:tr>
      <w:tr w:rsidR="007C3F49" w:rsidRPr="00D25732" w14:paraId="099A86F6" w14:textId="77777777" w:rsidTr="00E3214D">
        <w:trPr>
          <w:cantSplit/>
          <w:trHeight w:val="683"/>
        </w:trPr>
        <w:tc>
          <w:tcPr>
            <w:tcW w:w="1440" w:type="dxa"/>
            <w:tcBorders>
              <w:top w:val="single" w:sz="4" w:space="0" w:color="auto"/>
              <w:left w:val="single" w:sz="4" w:space="0" w:color="auto"/>
              <w:bottom w:val="single" w:sz="4" w:space="0" w:color="auto"/>
            </w:tcBorders>
          </w:tcPr>
          <w:p w14:paraId="5D401DB7" w14:textId="40343F20" w:rsidR="007C3F49" w:rsidRDefault="00A22DD7" w:rsidP="00EC358D">
            <w:pPr>
              <w:spacing w:after="0" w:line="240" w:lineRule="auto"/>
              <w:rPr>
                <w:rFonts w:asciiTheme="minorHAnsi" w:eastAsia="Times New Roman" w:hAnsiTheme="minorHAnsi" w:cs="Arial"/>
                <w:b/>
              </w:rPr>
            </w:pPr>
            <w:r>
              <w:rPr>
                <w:rFonts w:asciiTheme="minorHAnsi" w:eastAsia="Times New Roman" w:hAnsiTheme="minorHAnsi" w:cs="Arial"/>
                <w:b/>
              </w:rPr>
              <w:lastRenderedPageBreak/>
              <w:t>1030</w:t>
            </w:r>
          </w:p>
        </w:tc>
        <w:tc>
          <w:tcPr>
            <w:tcW w:w="2610" w:type="dxa"/>
            <w:tcBorders>
              <w:top w:val="single" w:sz="4" w:space="0" w:color="auto"/>
              <w:bottom w:val="single" w:sz="4" w:space="0" w:color="auto"/>
            </w:tcBorders>
          </w:tcPr>
          <w:p w14:paraId="7FC0EE69" w14:textId="284FC218" w:rsidR="007C3F49" w:rsidRPr="00AD1FE1" w:rsidRDefault="00A22DD7" w:rsidP="00EC358D">
            <w:pPr>
              <w:spacing w:after="0" w:line="240" w:lineRule="auto"/>
              <w:rPr>
                <w:rFonts w:asciiTheme="minorHAnsi" w:eastAsia="Times New Roman" w:hAnsiTheme="minorHAnsi" w:cs="Arial"/>
              </w:rPr>
            </w:pPr>
            <w:r>
              <w:rPr>
                <w:rFonts w:asciiTheme="minorHAnsi" w:eastAsia="Times New Roman" w:hAnsiTheme="minorHAnsi" w:cs="Arial"/>
              </w:rPr>
              <w:t>Wrap up – for those who wish, there will be an exercise in the Windfeldt Room until about 1130 with Hospitals and you are wel</w:t>
            </w:r>
            <w:r w:rsidR="00AA672F">
              <w:rPr>
                <w:rFonts w:asciiTheme="minorHAnsi" w:eastAsia="Times New Roman" w:hAnsiTheme="minorHAnsi" w:cs="Arial"/>
              </w:rPr>
              <w:t>come. Lunch will be at 11:45 followed by the general combined meeting</w:t>
            </w:r>
          </w:p>
        </w:tc>
        <w:tc>
          <w:tcPr>
            <w:tcW w:w="5751" w:type="dxa"/>
            <w:tcBorders>
              <w:top w:val="single" w:sz="4" w:space="0" w:color="auto"/>
              <w:bottom w:val="single" w:sz="4" w:space="0" w:color="auto"/>
            </w:tcBorders>
          </w:tcPr>
          <w:p w14:paraId="278738CB" w14:textId="77777777" w:rsidR="007C3F49" w:rsidRPr="00D25732" w:rsidRDefault="007C3F49" w:rsidP="00EC358D">
            <w:pPr>
              <w:spacing w:after="0" w:line="240" w:lineRule="auto"/>
              <w:rPr>
                <w:rFonts w:asciiTheme="minorHAnsi" w:eastAsia="Times New Roman" w:hAnsiTheme="minorHAnsi" w:cs="Arial"/>
                <w:b/>
              </w:rPr>
            </w:pPr>
          </w:p>
        </w:tc>
      </w:tr>
    </w:tbl>
    <w:p w14:paraId="0672CFA0" w14:textId="75507C2B" w:rsidR="009E38DE" w:rsidRDefault="009E38DE" w:rsidP="00AB5405">
      <w:pPr>
        <w:spacing w:after="0" w:line="240" w:lineRule="auto"/>
        <w:rPr>
          <w:b/>
        </w:rPr>
      </w:pPr>
    </w:p>
    <w:p w14:paraId="004CC139" w14:textId="77777777" w:rsidR="009E38DE" w:rsidRPr="009E38DE" w:rsidRDefault="009E38DE" w:rsidP="009E38DE"/>
    <w:p w14:paraId="7F38A650" w14:textId="77777777" w:rsidR="009E38DE" w:rsidRPr="009E38DE" w:rsidRDefault="009E38DE" w:rsidP="009E38DE"/>
    <w:p w14:paraId="37E6CB48" w14:textId="77777777" w:rsidR="009E38DE" w:rsidRPr="009E38DE" w:rsidRDefault="009E38DE" w:rsidP="009E38DE"/>
    <w:p w14:paraId="2E3B6E69" w14:textId="77777777" w:rsidR="009E38DE" w:rsidRPr="009E38DE" w:rsidRDefault="009E38DE" w:rsidP="009E38DE"/>
    <w:p w14:paraId="6F618D6F" w14:textId="77777777" w:rsidR="009E38DE" w:rsidRPr="009E38DE" w:rsidRDefault="009E38DE" w:rsidP="009E38DE"/>
    <w:p w14:paraId="2BB87CD0" w14:textId="1A4A611B" w:rsidR="00867D63" w:rsidRDefault="00867D63" w:rsidP="009E38DE">
      <w:pPr>
        <w:jc w:val="right"/>
      </w:pPr>
    </w:p>
    <w:p w14:paraId="253EF351" w14:textId="77777777" w:rsidR="00867D63" w:rsidRPr="00867D63" w:rsidRDefault="00867D63" w:rsidP="00867D63"/>
    <w:p w14:paraId="2A50DB9F" w14:textId="77777777" w:rsidR="00867D63" w:rsidRPr="00867D63" w:rsidRDefault="00867D63" w:rsidP="00867D63"/>
    <w:p w14:paraId="38E83646" w14:textId="77777777" w:rsidR="00867D63" w:rsidRPr="00867D63" w:rsidRDefault="00867D63" w:rsidP="00867D63"/>
    <w:p w14:paraId="50DD330D" w14:textId="77777777" w:rsidR="00867D63" w:rsidRPr="00867D63" w:rsidRDefault="00867D63" w:rsidP="00867D63"/>
    <w:p w14:paraId="79865F58" w14:textId="77777777" w:rsidR="00867D63" w:rsidRPr="00867D63" w:rsidRDefault="00867D63" w:rsidP="00867D63"/>
    <w:p w14:paraId="57BEE0B2" w14:textId="77777777" w:rsidR="00867D63" w:rsidRPr="00867D63" w:rsidRDefault="00867D63" w:rsidP="00867D63"/>
    <w:p w14:paraId="45C05E7E" w14:textId="77777777" w:rsidR="00867D63" w:rsidRPr="00867D63" w:rsidRDefault="00867D63" w:rsidP="00867D63"/>
    <w:p w14:paraId="185B6482" w14:textId="77777777" w:rsidR="00867D63" w:rsidRPr="00867D63" w:rsidRDefault="00867D63" w:rsidP="00867D63"/>
    <w:p w14:paraId="754CD681" w14:textId="77777777" w:rsidR="00867D63" w:rsidRPr="00867D63" w:rsidRDefault="00867D63" w:rsidP="00867D63"/>
    <w:p w14:paraId="3BD03230" w14:textId="77777777" w:rsidR="00867D63" w:rsidRPr="00867D63" w:rsidRDefault="00867D63" w:rsidP="00867D63"/>
    <w:p w14:paraId="327C18FC" w14:textId="12EF83B6" w:rsidR="00AB5405" w:rsidRPr="00867D63" w:rsidRDefault="00867D63" w:rsidP="00867D63">
      <w:pPr>
        <w:tabs>
          <w:tab w:val="left" w:pos="8595"/>
        </w:tabs>
      </w:pPr>
      <w:r>
        <w:tab/>
      </w:r>
    </w:p>
    <w:sectPr w:rsidR="00AB5405" w:rsidRPr="00867D63" w:rsidSect="00AB5405">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0238" w14:textId="77777777" w:rsidR="005E2803" w:rsidRDefault="005E2803" w:rsidP="00572E6B">
      <w:pPr>
        <w:spacing w:after="0" w:line="240" w:lineRule="auto"/>
      </w:pPr>
      <w:r>
        <w:separator/>
      </w:r>
    </w:p>
  </w:endnote>
  <w:endnote w:type="continuationSeparator" w:id="0">
    <w:p w14:paraId="795CE75E" w14:textId="77777777" w:rsidR="005E2803" w:rsidRDefault="005E2803" w:rsidP="005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AD0C9" w14:textId="77777777" w:rsidR="005E2803" w:rsidRDefault="005E2803" w:rsidP="00572E6B">
      <w:pPr>
        <w:spacing w:after="0" w:line="240" w:lineRule="auto"/>
      </w:pPr>
      <w:r>
        <w:separator/>
      </w:r>
    </w:p>
  </w:footnote>
  <w:footnote w:type="continuationSeparator" w:id="0">
    <w:p w14:paraId="3766B537" w14:textId="77777777" w:rsidR="005E2803" w:rsidRDefault="005E2803" w:rsidP="00572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129"/>
    <w:multiLevelType w:val="hybridMultilevel"/>
    <w:tmpl w:val="923E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0CA3"/>
    <w:multiLevelType w:val="hybridMultilevel"/>
    <w:tmpl w:val="FCD64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91697"/>
    <w:multiLevelType w:val="hybridMultilevel"/>
    <w:tmpl w:val="C87CD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F0B08"/>
    <w:multiLevelType w:val="hybridMultilevel"/>
    <w:tmpl w:val="55925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E32C9"/>
    <w:multiLevelType w:val="hybridMultilevel"/>
    <w:tmpl w:val="1BC0D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A74E5"/>
    <w:multiLevelType w:val="hybridMultilevel"/>
    <w:tmpl w:val="AC3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A7500"/>
    <w:multiLevelType w:val="hybridMultilevel"/>
    <w:tmpl w:val="896A2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04296C"/>
    <w:multiLevelType w:val="hybridMultilevel"/>
    <w:tmpl w:val="E166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20331"/>
    <w:multiLevelType w:val="hybridMultilevel"/>
    <w:tmpl w:val="4F30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423A7"/>
    <w:multiLevelType w:val="hybridMultilevel"/>
    <w:tmpl w:val="775C7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32163F"/>
    <w:multiLevelType w:val="hybridMultilevel"/>
    <w:tmpl w:val="775C7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9E7FDD"/>
    <w:multiLevelType w:val="hybridMultilevel"/>
    <w:tmpl w:val="20640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F1696D"/>
    <w:multiLevelType w:val="hybridMultilevel"/>
    <w:tmpl w:val="2D1AB19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8D600C"/>
    <w:multiLevelType w:val="hybridMultilevel"/>
    <w:tmpl w:val="D1B22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1063C5"/>
    <w:multiLevelType w:val="hybridMultilevel"/>
    <w:tmpl w:val="3E66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4388C"/>
    <w:multiLevelType w:val="hybridMultilevel"/>
    <w:tmpl w:val="4358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22FD8"/>
    <w:multiLevelType w:val="hybridMultilevel"/>
    <w:tmpl w:val="6AB89A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F23B6D"/>
    <w:multiLevelType w:val="hybridMultilevel"/>
    <w:tmpl w:val="54CA5230"/>
    <w:lvl w:ilvl="0" w:tplc="DA64CA02">
      <w:numFmt w:val="bullet"/>
      <w:lvlText w:val="-"/>
      <w:lvlJc w:val="left"/>
      <w:pPr>
        <w:ind w:left="720" w:hanging="360"/>
      </w:pPr>
      <w:rPr>
        <w:rFonts w:ascii="Calibri" w:eastAsia="Times New Roman"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06829"/>
    <w:multiLevelType w:val="hybridMultilevel"/>
    <w:tmpl w:val="A70E3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DD3460"/>
    <w:multiLevelType w:val="hybridMultilevel"/>
    <w:tmpl w:val="E8B4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E4D2D"/>
    <w:multiLevelType w:val="hybridMultilevel"/>
    <w:tmpl w:val="E232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ED2217"/>
    <w:multiLevelType w:val="hybridMultilevel"/>
    <w:tmpl w:val="EA1CCB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
  </w:num>
  <w:num w:numId="3">
    <w:abstractNumId w:val="5"/>
  </w:num>
  <w:num w:numId="4">
    <w:abstractNumId w:val="17"/>
  </w:num>
  <w:num w:numId="5">
    <w:abstractNumId w:val="14"/>
  </w:num>
  <w:num w:numId="6">
    <w:abstractNumId w:val="19"/>
  </w:num>
  <w:num w:numId="7">
    <w:abstractNumId w:val="8"/>
  </w:num>
  <w:num w:numId="8">
    <w:abstractNumId w:val="15"/>
  </w:num>
  <w:num w:numId="9">
    <w:abstractNumId w:val="21"/>
  </w:num>
  <w:num w:numId="10">
    <w:abstractNumId w:val="12"/>
  </w:num>
  <w:num w:numId="11">
    <w:abstractNumId w:val="16"/>
  </w:num>
  <w:num w:numId="12">
    <w:abstractNumId w:val="13"/>
  </w:num>
  <w:num w:numId="13">
    <w:abstractNumId w:val="20"/>
  </w:num>
  <w:num w:numId="14">
    <w:abstractNumId w:val="3"/>
  </w:num>
  <w:num w:numId="15">
    <w:abstractNumId w:val="4"/>
  </w:num>
  <w:num w:numId="16">
    <w:abstractNumId w:val="2"/>
  </w:num>
  <w:num w:numId="17">
    <w:abstractNumId w:val="11"/>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E6"/>
    <w:rsid w:val="00021113"/>
    <w:rsid w:val="00040B83"/>
    <w:rsid w:val="000546B0"/>
    <w:rsid w:val="00055EC6"/>
    <w:rsid w:val="00066BC2"/>
    <w:rsid w:val="00080E56"/>
    <w:rsid w:val="00090B7E"/>
    <w:rsid w:val="000926A5"/>
    <w:rsid w:val="000962E0"/>
    <w:rsid w:val="000D7602"/>
    <w:rsid w:val="000E253C"/>
    <w:rsid w:val="000E3EB3"/>
    <w:rsid w:val="00123806"/>
    <w:rsid w:val="00132CF5"/>
    <w:rsid w:val="00167AAC"/>
    <w:rsid w:val="00170792"/>
    <w:rsid w:val="0018456F"/>
    <w:rsid w:val="001B5E8B"/>
    <w:rsid w:val="001D34F3"/>
    <w:rsid w:val="001D60A6"/>
    <w:rsid w:val="00207106"/>
    <w:rsid w:val="00207E9C"/>
    <w:rsid w:val="002253A5"/>
    <w:rsid w:val="00254B40"/>
    <w:rsid w:val="002874D8"/>
    <w:rsid w:val="00287EB8"/>
    <w:rsid w:val="002B7EC4"/>
    <w:rsid w:val="002C4B90"/>
    <w:rsid w:val="002E4892"/>
    <w:rsid w:val="002E6E83"/>
    <w:rsid w:val="002F0CB5"/>
    <w:rsid w:val="00320000"/>
    <w:rsid w:val="003345FF"/>
    <w:rsid w:val="00383660"/>
    <w:rsid w:val="003A7FBC"/>
    <w:rsid w:val="003B05A6"/>
    <w:rsid w:val="003C7D14"/>
    <w:rsid w:val="003D458B"/>
    <w:rsid w:val="003D4BFA"/>
    <w:rsid w:val="003D6C27"/>
    <w:rsid w:val="003E2919"/>
    <w:rsid w:val="003F489D"/>
    <w:rsid w:val="00411D18"/>
    <w:rsid w:val="00417C9F"/>
    <w:rsid w:val="00420901"/>
    <w:rsid w:val="00436FC8"/>
    <w:rsid w:val="00445B61"/>
    <w:rsid w:val="004468C3"/>
    <w:rsid w:val="004601DD"/>
    <w:rsid w:val="00477ADD"/>
    <w:rsid w:val="00497BAC"/>
    <w:rsid w:val="004B3DC7"/>
    <w:rsid w:val="004C5A54"/>
    <w:rsid w:val="004E6F84"/>
    <w:rsid w:val="00500187"/>
    <w:rsid w:val="00505745"/>
    <w:rsid w:val="00531F1C"/>
    <w:rsid w:val="00536C72"/>
    <w:rsid w:val="00543FA1"/>
    <w:rsid w:val="0055055F"/>
    <w:rsid w:val="00572E6B"/>
    <w:rsid w:val="00597349"/>
    <w:rsid w:val="005D126E"/>
    <w:rsid w:val="005E2803"/>
    <w:rsid w:val="00601961"/>
    <w:rsid w:val="00627FE4"/>
    <w:rsid w:val="00641108"/>
    <w:rsid w:val="006626E2"/>
    <w:rsid w:val="00664A90"/>
    <w:rsid w:val="006732A8"/>
    <w:rsid w:val="00673AFA"/>
    <w:rsid w:val="00676C70"/>
    <w:rsid w:val="0069111D"/>
    <w:rsid w:val="0069228B"/>
    <w:rsid w:val="006E1989"/>
    <w:rsid w:val="0071080B"/>
    <w:rsid w:val="0071392A"/>
    <w:rsid w:val="0072249D"/>
    <w:rsid w:val="007703A7"/>
    <w:rsid w:val="007712EF"/>
    <w:rsid w:val="00777BAE"/>
    <w:rsid w:val="007849DC"/>
    <w:rsid w:val="007C3F49"/>
    <w:rsid w:val="007C7DB4"/>
    <w:rsid w:val="007D2035"/>
    <w:rsid w:val="008027B0"/>
    <w:rsid w:val="00810DDE"/>
    <w:rsid w:val="008216A5"/>
    <w:rsid w:val="00836646"/>
    <w:rsid w:val="00867D63"/>
    <w:rsid w:val="00871DC6"/>
    <w:rsid w:val="00881592"/>
    <w:rsid w:val="008C2D75"/>
    <w:rsid w:val="008C7956"/>
    <w:rsid w:val="0092371B"/>
    <w:rsid w:val="009254A0"/>
    <w:rsid w:val="0093097B"/>
    <w:rsid w:val="009513E2"/>
    <w:rsid w:val="009669A0"/>
    <w:rsid w:val="00970421"/>
    <w:rsid w:val="009A28D7"/>
    <w:rsid w:val="009A66B1"/>
    <w:rsid w:val="009C5AF5"/>
    <w:rsid w:val="009D513E"/>
    <w:rsid w:val="009D534E"/>
    <w:rsid w:val="009E38DE"/>
    <w:rsid w:val="009F6C1C"/>
    <w:rsid w:val="00A035B1"/>
    <w:rsid w:val="00A22DD7"/>
    <w:rsid w:val="00A23EE4"/>
    <w:rsid w:val="00A41B13"/>
    <w:rsid w:val="00AA672F"/>
    <w:rsid w:val="00AB5405"/>
    <w:rsid w:val="00AD1FE1"/>
    <w:rsid w:val="00B05563"/>
    <w:rsid w:val="00B155BF"/>
    <w:rsid w:val="00B203D6"/>
    <w:rsid w:val="00B56150"/>
    <w:rsid w:val="00B561EB"/>
    <w:rsid w:val="00B8024B"/>
    <w:rsid w:val="00B907F5"/>
    <w:rsid w:val="00B921F1"/>
    <w:rsid w:val="00BE5D07"/>
    <w:rsid w:val="00C341CC"/>
    <w:rsid w:val="00C96FD6"/>
    <w:rsid w:val="00CC7A66"/>
    <w:rsid w:val="00D01779"/>
    <w:rsid w:val="00D01C9B"/>
    <w:rsid w:val="00D0554F"/>
    <w:rsid w:val="00D25732"/>
    <w:rsid w:val="00D35E96"/>
    <w:rsid w:val="00D6343E"/>
    <w:rsid w:val="00D72ED7"/>
    <w:rsid w:val="00DA18E6"/>
    <w:rsid w:val="00DC43F5"/>
    <w:rsid w:val="00DD652F"/>
    <w:rsid w:val="00DE50F5"/>
    <w:rsid w:val="00DF607D"/>
    <w:rsid w:val="00E04B66"/>
    <w:rsid w:val="00E31502"/>
    <w:rsid w:val="00E3214D"/>
    <w:rsid w:val="00E424CD"/>
    <w:rsid w:val="00E5007A"/>
    <w:rsid w:val="00E54D23"/>
    <w:rsid w:val="00E81E83"/>
    <w:rsid w:val="00E869C3"/>
    <w:rsid w:val="00E91538"/>
    <w:rsid w:val="00EA4AD8"/>
    <w:rsid w:val="00EC358D"/>
    <w:rsid w:val="00EC6DF5"/>
    <w:rsid w:val="00EE550F"/>
    <w:rsid w:val="00EF7E89"/>
    <w:rsid w:val="00EF7F75"/>
    <w:rsid w:val="00F45613"/>
    <w:rsid w:val="00F6125D"/>
    <w:rsid w:val="00F71FF0"/>
    <w:rsid w:val="00FB11CE"/>
    <w:rsid w:val="00FB2FCC"/>
    <w:rsid w:val="00FB6A55"/>
    <w:rsid w:val="00FB6C4E"/>
    <w:rsid w:val="00FC6187"/>
    <w:rsid w:val="00FD012C"/>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D1B9"/>
  <w15:docId w15:val="{3394D9EC-3F09-4837-8925-4BB4E0D5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A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8E6"/>
    <w:pPr>
      <w:ind w:left="720"/>
      <w:contextualSpacing/>
    </w:pPr>
  </w:style>
  <w:style w:type="paragraph" w:styleId="BalloonText">
    <w:name w:val="Balloon Text"/>
    <w:basedOn w:val="Normal"/>
    <w:link w:val="BalloonTextChar"/>
    <w:uiPriority w:val="99"/>
    <w:semiHidden/>
    <w:unhideWhenUsed/>
    <w:rsid w:val="00D2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32"/>
    <w:rPr>
      <w:rFonts w:ascii="Tahoma" w:hAnsi="Tahoma" w:cs="Tahoma"/>
      <w:sz w:val="16"/>
      <w:szCs w:val="16"/>
    </w:rPr>
  </w:style>
  <w:style w:type="paragraph" w:styleId="Header">
    <w:name w:val="header"/>
    <w:basedOn w:val="Normal"/>
    <w:link w:val="HeaderChar"/>
    <w:uiPriority w:val="99"/>
    <w:unhideWhenUsed/>
    <w:rsid w:val="0057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6B"/>
    <w:rPr>
      <w:sz w:val="22"/>
      <w:szCs w:val="22"/>
    </w:rPr>
  </w:style>
  <w:style w:type="paragraph" w:styleId="Footer">
    <w:name w:val="footer"/>
    <w:basedOn w:val="Normal"/>
    <w:link w:val="FooterChar"/>
    <w:uiPriority w:val="99"/>
    <w:unhideWhenUsed/>
    <w:rsid w:val="0057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6B"/>
    <w:rPr>
      <w:sz w:val="22"/>
      <w:szCs w:val="22"/>
    </w:rPr>
  </w:style>
  <w:style w:type="character" w:styleId="CommentReference">
    <w:name w:val="annotation reference"/>
    <w:basedOn w:val="DefaultParagraphFont"/>
    <w:uiPriority w:val="99"/>
    <w:semiHidden/>
    <w:unhideWhenUsed/>
    <w:rsid w:val="00E04B66"/>
    <w:rPr>
      <w:sz w:val="16"/>
      <w:szCs w:val="16"/>
    </w:rPr>
  </w:style>
  <w:style w:type="paragraph" w:styleId="CommentText">
    <w:name w:val="annotation text"/>
    <w:basedOn w:val="Normal"/>
    <w:link w:val="CommentTextChar"/>
    <w:uiPriority w:val="99"/>
    <w:semiHidden/>
    <w:unhideWhenUsed/>
    <w:rsid w:val="00E04B66"/>
    <w:pPr>
      <w:spacing w:line="240" w:lineRule="auto"/>
    </w:pPr>
    <w:rPr>
      <w:sz w:val="20"/>
      <w:szCs w:val="20"/>
    </w:rPr>
  </w:style>
  <w:style w:type="character" w:customStyle="1" w:styleId="CommentTextChar">
    <w:name w:val="Comment Text Char"/>
    <w:basedOn w:val="DefaultParagraphFont"/>
    <w:link w:val="CommentText"/>
    <w:uiPriority w:val="99"/>
    <w:semiHidden/>
    <w:rsid w:val="00E04B66"/>
  </w:style>
  <w:style w:type="paragraph" w:styleId="CommentSubject">
    <w:name w:val="annotation subject"/>
    <w:basedOn w:val="CommentText"/>
    <w:next w:val="CommentText"/>
    <w:link w:val="CommentSubjectChar"/>
    <w:uiPriority w:val="99"/>
    <w:semiHidden/>
    <w:unhideWhenUsed/>
    <w:rsid w:val="00E04B66"/>
    <w:rPr>
      <w:b/>
      <w:bCs/>
    </w:rPr>
  </w:style>
  <w:style w:type="character" w:customStyle="1" w:styleId="CommentSubjectChar">
    <w:name w:val="Comment Subject Char"/>
    <w:basedOn w:val="CommentTextChar"/>
    <w:link w:val="CommentSubject"/>
    <w:uiPriority w:val="99"/>
    <w:semiHidden/>
    <w:rsid w:val="00E04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3061">
      <w:bodyDiv w:val="1"/>
      <w:marLeft w:val="0"/>
      <w:marRight w:val="0"/>
      <w:marTop w:val="0"/>
      <w:marBottom w:val="0"/>
      <w:divBdr>
        <w:top w:val="none" w:sz="0" w:space="0" w:color="auto"/>
        <w:left w:val="none" w:sz="0" w:space="0" w:color="auto"/>
        <w:bottom w:val="none" w:sz="0" w:space="0" w:color="auto"/>
        <w:right w:val="none" w:sz="0" w:space="0" w:color="auto"/>
      </w:divBdr>
    </w:div>
    <w:div w:id="105851232">
      <w:bodyDiv w:val="1"/>
      <w:marLeft w:val="0"/>
      <w:marRight w:val="0"/>
      <w:marTop w:val="0"/>
      <w:marBottom w:val="0"/>
      <w:divBdr>
        <w:top w:val="none" w:sz="0" w:space="0" w:color="auto"/>
        <w:left w:val="none" w:sz="0" w:space="0" w:color="auto"/>
        <w:bottom w:val="none" w:sz="0" w:space="0" w:color="auto"/>
        <w:right w:val="none" w:sz="0" w:space="0" w:color="auto"/>
      </w:divBdr>
    </w:div>
    <w:div w:id="827862106">
      <w:bodyDiv w:val="1"/>
      <w:marLeft w:val="0"/>
      <w:marRight w:val="0"/>
      <w:marTop w:val="0"/>
      <w:marBottom w:val="0"/>
      <w:divBdr>
        <w:top w:val="none" w:sz="0" w:space="0" w:color="auto"/>
        <w:left w:val="none" w:sz="0" w:space="0" w:color="auto"/>
        <w:bottom w:val="none" w:sz="0" w:space="0" w:color="auto"/>
        <w:right w:val="none" w:sz="0" w:space="0" w:color="auto"/>
      </w:divBdr>
    </w:div>
    <w:div w:id="11476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Cloud Hospital</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Rensenbrink, Alisa</dc:creator>
  <cp:keywords/>
  <dc:description/>
  <cp:lastModifiedBy>Sheldrew, Donald</cp:lastModifiedBy>
  <cp:revision>2</cp:revision>
  <cp:lastPrinted>2016-04-18T13:28:00Z</cp:lastPrinted>
  <dcterms:created xsi:type="dcterms:W3CDTF">2018-05-23T20:16:00Z</dcterms:created>
  <dcterms:modified xsi:type="dcterms:W3CDTF">2018-05-23T20:16:00Z</dcterms:modified>
</cp:coreProperties>
</file>